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0"/>
          <w:numId w:val="0"/>
        </w:numPr>
        <w:spacing w:before="240" w:after="240" w:line="480" w:lineRule="auto"/>
        <w:ind w:leftChars="-151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威海市立医院和平路机房UPS电池采购项目技术参数</w:t>
      </w:r>
    </w:p>
    <w:tbl>
      <w:tblPr>
        <w:tblStyle w:val="4"/>
        <w:tblpPr w:leftFromText="180" w:rightFromText="180" w:vertAnchor="text" w:horzAnchor="page" w:tblpX="1892" w:tblpY="843"/>
        <w:tblOverlap w:val="never"/>
        <w:tblW w:w="139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152"/>
        <w:gridCol w:w="8352"/>
        <w:gridCol w:w="744"/>
        <w:gridCol w:w="816"/>
        <w:gridCol w:w="1044"/>
        <w:gridCol w:w="10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8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详细说明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电池</w:t>
            </w:r>
          </w:p>
        </w:tc>
        <w:tc>
          <w:tcPr>
            <w:tcW w:w="8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firstLine="0" w:firstLineChars="0"/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1．配置</w:t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36</w:t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只12V</w:t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00ah的全密封阀控式免维护铅酸蓄电池；</w:t>
            </w:r>
          </w:p>
          <w:p>
            <w:pPr>
              <w:widowControl/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 xml:space="preserve">2．适用标准 </w:t>
            </w:r>
          </w:p>
          <w:p>
            <w:pPr>
              <w:widowControl/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GB/T19638.1-2014 中华人民共和国国家标准固定型阀控式铅酸蓄电池第一部分:技术条件；</w:t>
            </w:r>
          </w:p>
          <w:p>
            <w:pPr>
              <w:widowControl/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YD/T799-2010 中华人民共和国通信行业标准 通信用阀控式密封铅酸蓄电池；</w:t>
            </w:r>
          </w:p>
          <w:p>
            <w:pPr>
              <w:widowControl/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 xml:space="preserve">DL/T 637-2019 电力用固定型阀控式铅酸蓄电池 </w:t>
            </w:r>
          </w:p>
          <w:p>
            <w:pPr>
              <w:widowControl/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IEC 60896-21 2004 固定型铅酸蓄电池 阀控式试验方法</w:t>
            </w:r>
          </w:p>
          <w:p>
            <w:pPr>
              <w:widowControl/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IEC 60896-22 2004 固定型铅酸蓄电池 阀控式要求</w:t>
            </w:r>
          </w:p>
          <w:p>
            <w:pPr>
              <w:widowControl/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3．蓄电池浮充设计寿命不能低于10年（环境温度为25℃时）；蓄电池10hr容量第一次放电应不低于1.0C10；3hr容量不低于0.80C10；1hr容量放电不低于0.55C10；蓄电池端电压的均衡性：蓄电池组中各蓄电池间开路电压最高与最低差值不大于40mV；进入浮充状态24小时后，各蓄电池间的浮充电压最高值与最低值之差不大于50mV，10h率放电终止端电压差不大于100mV；蓄电池之间连接电压降△U≦5mV；自放电损失：完全充电的蓄电池，在25±5℃的环境中，静置28天后，其容量保持率应不低于99％；静置180天后期荷电保持能力应不低于89%；蓄电池正常浮充过程中应无酸雾逸出，以0.5I10A充电时，每充电1Ah的电量析出的酸雾量应不大于0.01mg；蓄电池按YD/T 799-2010通信行业标准方法检测，密封反应效率应不低于98.5％。按GB/T 19638.1-2014国标要求析气量试验：浮充条件下Ge≤0.00025mL/(Ah·h)；14.40V均充条件下Ge≤0.0008mL/(Ah·h)；应能承受50kPa的正压或负压而不破裂，压力释放后壳体无残余变形；蓄电池的安全阀开阀压力应为15kPa～25kPa，闭阀压力应为10kPa～20kPa,开、闭阀压差小于5kPa；蓄电池热失控敏感性试验温升不超过30℃，每24h电流增长率不超过25%；蓄电池低温敏感性试验后10h率容量不低于0.96C10，蓄电池外观无破裂、过度膨胀及槽、盖分离现象；蓄电池过度放电后充电容量恢复不低于94%；蓄电池24h再充电能力因素不低于89%；168h再充电能力因素不低于100%；抗机械破损能力测试后蓄电池无破损及漏液；蓄电池按GB/T 19638.1-2014国标6.21条充放循环耐久性试验，循环次数不低于500次；蓄电池在使用中应无渗液、漏液、爬液和膨胀现象；蓄电池的浮充电压值及范围：13.38V～13.62V，浮充电流值及范围: 1mA/Ah；蓄电池的充电（恒压）电压值及范围: 14.10～14.50V，充电电流值及范围: 0.1C10～0.25C10A； 以上须提供</w:t>
            </w:r>
            <w:r>
              <w:rPr>
                <w:rFonts w:hint="eastAsia" w:ascii="方正公文仿宋" w:hAnsi="方正公文仿宋" w:eastAsia="方正公文仿宋" w:cs="方正公文仿宋"/>
                <w:color w:val="000000"/>
                <w:kern w:val="0"/>
                <w:szCs w:val="21"/>
                <w:highlight w:val="none"/>
              </w:rPr>
              <w:t>所投型号 12V100Ah（或同系列不低于 100Ah）的 CNAS/CMA 检测报告</w:t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。</w:t>
            </w:r>
          </w:p>
          <w:p>
            <w:pPr>
              <w:widowControl/>
              <w:ind w:left="0" w:leftChars="0" w:firstLine="0" w:firstLineChars="0"/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4．提供泰尔认证证书和泰尔检测报告或具备同等效力的 CNAS 检测报告复印件；为提高产品安全性，所投蓄电池厂家要有极板防短路技术，有蓄电池防漏液技术，</w:t>
            </w:r>
            <w:r>
              <w:rPr>
                <w:rFonts w:hint="eastAsia" w:ascii="方正公文仿宋" w:hAnsi="方正公文仿宋" w:eastAsia="方正公文仿宋" w:cs="方正公文仿宋"/>
                <w:color w:val="000000"/>
                <w:kern w:val="0"/>
                <w:szCs w:val="21"/>
                <w:highlight w:val="none"/>
              </w:rPr>
              <w:t>投标文件中须提供所投产品的防漏液结构设计说明（如槽盖密封工艺、极柱密封方式等），并附对应型号的第三方检测报告（CNAS/CMA）中相关安全性试验（如耐压、防漏液）的合格结论页。</w:t>
            </w:r>
          </w:p>
          <w:p>
            <w:pPr>
              <w:widowControl/>
              <w:ind w:left="0" w:leftChars="0" w:firstLine="0" w:firstLineChars="0"/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5．投标人所投的蓄电池须提供生产厂家售后服务承诺函，质保期不低于3年。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6.</w:t>
            </w:r>
            <w:r>
              <w:rPr>
                <w:rFonts w:hint="eastAsia" w:ascii="方正公文仿宋" w:hAnsi="方正公文仿宋" w:eastAsia="方正公文仿宋" w:cs="方正公文仿宋"/>
                <w:kern w:val="0"/>
                <w:szCs w:val="21"/>
                <w:highlight w:val="none"/>
              </w:rPr>
              <w:t xml:space="preserve">数据中心 UPS 电池故障 </w:t>
            </w:r>
            <w:r>
              <w:rPr>
                <w:rFonts w:hint="eastAsia" w:ascii="方正公文仿宋" w:hAnsi="方正公文仿宋" w:eastAsia="方正公文仿宋" w:cs="方正公文仿宋"/>
                <w:kern w:val="0"/>
                <w:szCs w:val="21"/>
                <w:highlight w:val="none"/>
                <w:lang w:eastAsia="zh-CN"/>
              </w:rPr>
              <w:t>,</w:t>
            </w:r>
            <w:r>
              <w:rPr>
                <w:rFonts w:hint="eastAsia" w:ascii="方正公文仿宋" w:hAnsi="方正公文仿宋" w:eastAsia="方正公文仿宋" w:cs="方正公文仿宋"/>
                <w:kern w:val="0"/>
                <w:szCs w:val="21"/>
                <w:highlight w:val="none"/>
                <w:lang w:val="en-US" w:eastAsia="zh-CN"/>
              </w:rPr>
              <w:t>中标人需承诺</w:t>
            </w:r>
            <w:r>
              <w:rPr>
                <w:rFonts w:hint="eastAsia" w:ascii="方正公文仿宋" w:hAnsi="方正公文仿宋" w:eastAsia="方正公文仿宋" w:cs="方正公文仿宋"/>
                <w:kern w:val="0"/>
                <w:szCs w:val="21"/>
                <w:highlight w:val="none"/>
              </w:rPr>
              <w:t>接到通知 5 分钟内响应</w:t>
            </w:r>
            <w:r>
              <w:rPr>
                <w:rFonts w:hint="eastAsia" w:ascii="方正公文仿宋" w:hAnsi="方正公文仿宋" w:eastAsia="方正公文仿宋" w:cs="方正公文仿宋"/>
                <w:kern w:val="0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方正公文仿宋" w:hAnsi="方正公文仿宋" w:eastAsia="方正公文仿宋" w:cs="方正公文仿宋"/>
                <w:kern w:val="0"/>
                <w:szCs w:val="21"/>
                <w:highlight w:val="none"/>
              </w:rPr>
              <w:t xml:space="preserve"> 30 分钟</w:t>
            </w:r>
            <w:r>
              <w:rPr>
                <w:rFonts w:hint="eastAsia" w:ascii="方正公文仿宋" w:hAnsi="方正公文仿宋" w:eastAsia="方正公文仿宋" w:cs="方正公文仿宋"/>
                <w:kern w:val="0"/>
                <w:szCs w:val="21"/>
                <w:highlight w:val="none"/>
                <w:lang w:val="en-US" w:eastAsia="zh-CN"/>
              </w:rPr>
              <w:t>内</w:t>
            </w:r>
            <w:r>
              <w:rPr>
                <w:rFonts w:hint="eastAsia" w:ascii="方正公文仿宋" w:hAnsi="方正公文仿宋" w:eastAsia="方正公文仿宋" w:cs="方正公文仿宋"/>
                <w:kern w:val="0"/>
                <w:szCs w:val="21"/>
                <w:highlight w:val="none"/>
              </w:rPr>
              <w:t>抵达现场</w:t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0" w:firstLineChars="10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0" w:firstLineChars="10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节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实施</w:t>
            </w:r>
          </w:p>
        </w:tc>
        <w:tc>
          <w:tcPr>
            <w:tcW w:w="8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14" name="Picture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_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23" name="Picture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_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16" name="Picture_1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_15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15" name="Picture_15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_15_SpCnt_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8435" cy="11430"/>
                  <wp:effectExtent l="0" t="0" r="0" b="0"/>
                  <wp:wrapNone/>
                  <wp:docPr id="22" name="Picture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_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8435" cy="11430"/>
                  <wp:effectExtent l="0" t="0" r="0" b="0"/>
                  <wp:wrapNone/>
                  <wp:docPr id="17" name="Picture_15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_15_SpCnt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8435" cy="11430"/>
                  <wp:effectExtent l="0" t="0" r="0" b="0"/>
                  <wp:wrapNone/>
                  <wp:docPr id="18" name="Picture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_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8435" cy="11430"/>
                  <wp:effectExtent l="0" t="0" r="0" b="0"/>
                  <wp:wrapNone/>
                  <wp:docPr id="19" name="Picture_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_7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8435" cy="11430"/>
                  <wp:effectExtent l="0" t="0" r="0" b="0"/>
                  <wp:wrapNone/>
                  <wp:docPr id="20" name="Picture_1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_16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8435" cy="11430"/>
                  <wp:effectExtent l="0" t="0" r="0" b="0"/>
                  <wp:wrapNone/>
                  <wp:docPr id="21" name="Picture_15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_15_SpCnt_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8435" cy="11430"/>
                  <wp:effectExtent l="0" t="0" r="0" b="0"/>
                  <wp:wrapNone/>
                  <wp:docPr id="24" name="Picture_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_8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8435" cy="11430"/>
                  <wp:effectExtent l="0" t="0" r="0" b="0"/>
                  <wp:wrapNone/>
                  <wp:docPr id="12" name="Picture_7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_7_SpCnt_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13" name="Picture_16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_16_SpCnt_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27" name="Picture_15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_15_SpCnt_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26" name="Picture_8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_8_SpCnt_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25" name="Picture_7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_7_SpCnt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9" name="Picture_8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_8_SpCnt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10" name="Picture_16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_16_SpCnt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5" name="Picture_7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_7_SpCnt_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11" name="Picture_16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_16_SpCnt_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6" name="Picture_15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_15_SpCnt_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7" name="Picture_8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_8_SpCnt_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8" name="Picture_7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_7_SpCnt_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2" name="Picture_8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_8_SpCnt_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3" name="Picture_16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_16_SpCnt_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4" name="Picture_7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_7_SpCnt_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1" name="Picture_8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_8_SpCnt_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28" name="Picture_16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_16_SpCnt_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1.旧电池组拆除，新电池组搬运安装，线缆连接，更换过程中不应出现设备闪断(提供割接方案），保障数据中心设备安全，</w:t>
            </w:r>
            <w:r>
              <w:rPr>
                <w:rFonts w:hint="eastAsia" w:ascii="方正公文仿宋" w:hAnsi="方正公文仿宋" w:eastAsia="方正公文仿宋" w:cs="方正公文仿宋"/>
                <w:color w:val="000000"/>
                <w:kern w:val="0"/>
                <w:szCs w:val="21"/>
                <w:highlight w:val="none"/>
                <w:u w:val="none"/>
                <w:lang w:bidi="ar"/>
              </w:rPr>
              <w:t>项目负责人及主要施工人员须持有低压电工作业证，且至少1人具备 UPS 设备厂商或蓄电池厂商的培训认证证书（附证书复印件</w:t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）。</w:t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0" w:firstLineChars="10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0" w:firstLineChars="10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</w:tbl>
    <w:p>
      <w:r>
        <w:rPr>
          <w:rFonts w:hint="eastAsia" w:eastAsia="宋体" w:cs="Times New Roman"/>
          <w:highlight w:val="none"/>
          <w:lang w:val="en-US" w:eastAsia="zh-CN"/>
        </w:rPr>
        <w:t>本项目说明中所提出的参数和标准仅系说明并非进行限制，供应商可提出替代的参数和标准，并在技术文件中详细说明，但该替代应不低于本文件的规定和要求（本报价包含产品安装费、材料费、人工费、运输费、税费等所有费用），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仿宋">
    <w:altName w:val="仿宋"/>
    <w:panose1 w:val="020005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1"/>
    <w:multiLevelType w:val="multilevel"/>
    <w:tmpl w:val="00000011"/>
    <w:lvl w:ilvl="0" w:tentative="0">
      <w:start w:val="1"/>
      <w:numFmt w:val="chineseCountingThousand"/>
      <w:pStyle w:val="3"/>
      <w:lvlText w:val="%1、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1F59B5"/>
    <w:rsid w:val="16D138A0"/>
    <w:rsid w:val="23BF6878"/>
    <w:rsid w:val="47887A0D"/>
    <w:rsid w:val="49F9330B"/>
    <w:rsid w:val="52AA17C7"/>
    <w:rsid w:val="56F5789E"/>
    <w:rsid w:val="5EA23A3B"/>
    <w:rsid w:val="69D725EC"/>
    <w:rsid w:val="6CE856AC"/>
    <w:rsid w:val="6D3547CD"/>
    <w:rsid w:val="6FB14059"/>
    <w:rsid w:val="71E67609"/>
    <w:rsid w:val="76FF481C"/>
    <w:rsid w:val="79BE6B34"/>
    <w:rsid w:val="7E98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after="330" w:afterLines="0" w:line="578" w:lineRule="auto"/>
      <w:ind w:firstLine="0" w:firstLineChars="0"/>
      <w:outlineLvl w:val="0"/>
    </w:pPr>
    <w:rPr>
      <w:rFonts w:eastAsia="黑体"/>
      <w:b/>
      <w:bCs/>
      <w:kern w:val="44"/>
      <w:sz w:val="28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2025-06-25T01:21:00Z</dcterms:created>
  <dc:creator>Administrator</dc:creator>
  <cp:lastModifiedBy>Administrator</cp:lastModifiedBy>
  <dcterms:modified xsi:type="dcterms:W3CDTF">2026-08-28T06:32:27Z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27E9F9D356004C48997FE3D59C1B3A9A</vt:lpwstr>
  </property>
</Properties>
</file>