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883" w:firstLineChars="200"/>
        <w:jc w:val="center"/>
        <w:rPr>
          <w:rFonts w:hint="eastAsia" w:ascii="宋体" w:hAnsi="宋体" w:eastAsia="宋体"/>
          <w:b/>
          <w:sz w:val="36"/>
          <w:szCs w:val="21"/>
          <w:lang w:val="en-US" w:eastAsia="zh-CN"/>
        </w:rPr>
      </w:pPr>
      <w:r>
        <w:rPr>
          <w:rFonts w:hint="eastAsia" w:asciiTheme="majorEastAsia" w:hAnsiTheme="majorEastAsia" w:eastAsiaTheme="majorEastAsia" w:cstheme="majorEastAsia"/>
          <w:b/>
          <w:bCs/>
          <w:sz w:val="44"/>
          <w:szCs w:val="44"/>
        </w:rPr>
        <w:t>威海市立医</w:t>
      </w:r>
      <w:r>
        <w:rPr>
          <w:rFonts w:hint="eastAsia" w:asciiTheme="majorEastAsia" w:hAnsiTheme="majorEastAsia" w:eastAsiaTheme="majorEastAsia" w:cstheme="majorEastAsia"/>
          <w:b/>
          <w:bCs/>
          <w:sz w:val="44"/>
          <w:szCs w:val="44"/>
          <w:lang w:val="en-US" w:eastAsia="zh-CN"/>
        </w:rPr>
        <w:t>院</w:t>
      </w:r>
      <w:r>
        <w:rPr>
          <w:rFonts w:hint="eastAsia" w:asciiTheme="majorEastAsia" w:hAnsiTheme="majorEastAsia" w:eastAsiaTheme="majorEastAsia" w:cstheme="majorEastAsia"/>
          <w:b/>
          <w:bCs/>
          <w:sz w:val="44"/>
          <w:szCs w:val="44"/>
        </w:rPr>
        <w:t xml:space="preserve"> 6号楼楼一层核磁共振室结构鉴定</w:t>
      </w:r>
      <w:r>
        <w:rPr>
          <w:rFonts w:hint="eastAsia" w:asciiTheme="majorEastAsia" w:hAnsiTheme="majorEastAsia" w:eastAsiaTheme="majorEastAsia" w:cstheme="majorEastAsia"/>
          <w:b/>
          <w:bCs/>
          <w:sz w:val="44"/>
          <w:szCs w:val="44"/>
          <w:lang w:eastAsia="zh-CN"/>
        </w:rPr>
        <w:t>（</w:t>
      </w:r>
      <w:r>
        <w:rPr>
          <w:rFonts w:hint="eastAsia" w:asciiTheme="majorEastAsia" w:hAnsiTheme="majorEastAsia" w:eastAsiaTheme="majorEastAsia" w:cstheme="majorEastAsia"/>
          <w:b/>
          <w:bCs/>
          <w:sz w:val="44"/>
          <w:szCs w:val="44"/>
        </w:rPr>
        <w:t xml:space="preserve">202602-3 </w:t>
      </w:r>
      <w:r>
        <w:rPr>
          <w:rFonts w:hint="eastAsia" w:asciiTheme="majorEastAsia" w:hAnsiTheme="majorEastAsia" w:eastAsiaTheme="majorEastAsia" w:cstheme="majorEastAsia"/>
          <w:b/>
          <w:bCs/>
          <w:sz w:val="44"/>
          <w:szCs w:val="44"/>
          <w:lang w:eastAsia="zh-CN"/>
        </w:rPr>
        <w:t>）</w:t>
      </w:r>
      <w:r>
        <w:rPr>
          <w:rFonts w:hint="eastAsia" w:ascii="宋体" w:hAnsi="宋体" w:eastAsia="宋体"/>
          <w:b/>
          <w:sz w:val="36"/>
          <w:szCs w:val="21"/>
          <w:lang w:val="en-US" w:eastAsia="zh-CN"/>
        </w:rPr>
        <w:t>院内比选/调研</w:t>
      </w:r>
      <w:r>
        <w:rPr>
          <w:rFonts w:hint="default" w:ascii="宋体" w:hAnsi="宋体" w:eastAsia="宋体"/>
          <w:b/>
          <w:sz w:val="36"/>
          <w:szCs w:val="21"/>
          <w:lang w:val="en-US" w:eastAsia="zh-CN"/>
        </w:rPr>
        <w:t>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6"/>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2、报价表及报价明细表：详见</w:t>
      </w:r>
      <w:r>
        <w:rPr>
          <w:rFonts w:hint="eastAsia" w:ascii="宋体" w:hAnsi="宋体" w:eastAsia="宋体" w:cstheme="minorBidi"/>
          <w:b/>
          <w:bCs w:val="0"/>
          <w:color w:val="auto"/>
          <w:kern w:val="2"/>
          <w:sz w:val="24"/>
          <w:szCs w:val="24"/>
          <w:lang w:val="en-US" w:eastAsia="zh-CN" w:bidi="ar-SA"/>
        </w:rPr>
        <w:t>附件2。</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5、供应商名称、联系人姓名及联系方式、邮箱等信息。</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6、</w:t>
      </w:r>
      <w:r>
        <w:rPr>
          <w:rFonts w:hint="eastAsia" w:ascii="宋体" w:hAnsi="宋体" w:eastAsia="宋体" w:cstheme="minorBidi"/>
          <w:b w:val="0"/>
          <w:bCs/>
          <w:color w:val="auto"/>
          <w:kern w:val="2"/>
          <w:sz w:val="24"/>
          <w:szCs w:val="24"/>
          <w:lang w:val="en-US" w:eastAsia="zh-CN" w:bidi="ar-SA"/>
        </w:rPr>
        <w:t>供应商资质、法人给业务员的授权书（加盖公章，法人和被授权人签字），附法人和被授权人的身份证复印件，以及被授权人在投标公司所缴纳社保证明。</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8、其他医院合同复印件或相关发票(三级医院排在前面，合同需体现项目信息，发票建议提前查验，避免出现冲红发票等问题）。</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10、材料真实性及购销廉洁声明（</w:t>
      </w:r>
      <w:r>
        <w:rPr>
          <w:rFonts w:hint="eastAsia" w:ascii="宋体" w:hAnsi="宋体" w:eastAsia="宋体" w:cstheme="minorBidi"/>
          <w:b/>
          <w:bCs w:val="0"/>
          <w:color w:val="auto"/>
          <w:kern w:val="2"/>
          <w:sz w:val="24"/>
          <w:szCs w:val="24"/>
          <w:lang w:val="en-US" w:eastAsia="zh-CN" w:bidi="ar-SA"/>
        </w:rPr>
        <w:t>见附件5</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11、评分表（</w:t>
      </w:r>
      <w:r>
        <w:rPr>
          <w:rFonts w:hint="eastAsia" w:ascii="宋体" w:hAnsi="宋体" w:eastAsia="宋体" w:cstheme="minorBidi"/>
          <w:b/>
          <w:bCs w:val="0"/>
          <w:color w:val="auto"/>
          <w:kern w:val="2"/>
          <w:sz w:val="24"/>
          <w:szCs w:val="24"/>
          <w:lang w:val="en-US" w:eastAsia="zh-CN" w:bidi="ar-SA"/>
        </w:rPr>
        <w:t>见附件6</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12、产品参数：</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依据的主要技术标准</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《建筑结构加固工程施工质量验收规范》GB 50550-2010</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《民用建筑可靠性鉴定标准》GB 50292-2015</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《既有建筑鉴定与加固通用规范》GB 55021-2021</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iCs w:val="0"/>
          <w:color w:val="auto"/>
          <w:kern w:val="0"/>
          <w:sz w:val="24"/>
          <w:szCs w:val="24"/>
          <w:u w:val="none"/>
          <w:lang w:val="en-US" w:eastAsia="zh-CN" w:bidi="ar"/>
        </w:rPr>
      </w:pPr>
    </w:p>
    <w:p>
      <w:pPr>
        <w:pStyle w:val="2"/>
        <w:spacing w:after="0" w:line="400" w:lineRule="exact"/>
        <w:ind w:firstLine="480" w:firstLineChars="20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2、供应商资质要求</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在中国境内注册，持有合法有效的营业执照；</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具有建设行政主管部门颁发的《建设工程质量检测机构资质证书》（综合资质或检测范围须包含主体结构工程检测或主体结构及装饰装修检测专项）；</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具有良好的商业信誉和健全的财务会计制度；</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具有履行合同所必须的设备和专业技术能力；</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具有依法缴纳税收和社会保障资金的良好记录；</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参加本次采购活动前三年内，在经营活动中没有重大违法记录；</w:t>
      </w:r>
    </w:p>
    <w:p>
      <w:pPr>
        <w:pStyle w:val="2"/>
        <w:spacing w:after="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本项目不接受联合体投标。</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备注：（本报价包含产品费用、专家费、人工费、税费、所需材料费及检测费等所有费用）。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b/>
          <w:bCs/>
          <w:color w:val="FF0000"/>
          <w:sz w:val="24"/>
          <w:szCs w:val="24"/>
          <w:lang w:val="en-US" w:eastAsia="zh-CN"/>
        </w:rPr>
        <w:t>扫描</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6"/>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rPr>
          <w:rFonts w:ascii="黑体" w:hAnsi="宋体" w:eastAsia="黑体"/>
          <w:sz w:val="24"/>
          <w:szCs w:val="52"/>
        </w:rPr>
      </w:pP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6号楼楼一层核磁共振室结构鉴定</w:t>
      </w:r>
    </w:p>
    <w:p>
      <w:pPr>
        <w:spacing w:before="240" w:after="60"/>
        <w:jc w:val="center"/>
        <w:outlineLvl w:val="0"/>
        <w:rPr>
          <w:rFonts w:hint="eastAsia" w:ascii="黑体" w:hAnsi="宋体" w:eastAsia="黑体" w:cstheme="minorBidi"/>
          <w:kern w:val="2"/>
          <w:sz w:val="48"/>
          <w:szCs w:val="52"/>
          <w:lang w:val="en-US" w:eastAsia="zh-CN" w:bidi="ar-SA"/>
        </w:rPr>
      </w:pPr>
      <w:r>
        <w:rPr>
          <w:rFonts w:hint="eastAsia" w:ascii="黑体" w:hAnsi="宋体" w:eastAsia="黑体" w:cstheme="minorBidi"/>
          <w:kern w:val="2"/>
          <w:sz w:val="48"/>
          <w:szCs w:val="52"/>
          <w:lang w:val="en-US" w:eastAsia="zh-CN" w:bidi="ar-SA"/>
        </w:rPr>
        <w:t>编号（202602-3）</w:t>
      </w: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3049"/>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pPr>
              <w:rPr>
                <w:rFonts w:hint="default" w:eastAsiaTheme="minorEastAsia"/>
                <w:vertAlign w:val="baseline"/>
                <w:lang w:val="en-US" w:eastAsia="zh-CN"/>
              </w:rPr>
            </w:pPr>
            <w:r>
              <w:rPr>
                <w:rFonts w:hint="eastAsia"/>
                <w:vertAlign w:val="baseline"/>
                <w:lang w:val="en-US" w:eastAsia="zh-CN"/>
              </w:rPr>
              <w:t>项目名称</w:t>
            </w:r>
          </w:p>
        </w:tc>
        <w:tc>
          <w:tcPr>
            <w:tcW w:w="3049" w:type="dxa"/>
          </w:tcPr>
          <w:p>
            <w:pPr>
              <w:rPr>
                <w:rFonts w:hint="eastAsia" w:eastAsiaTheme="minorEastAsia"/>
                <w:vertAlign w:val="baseline"/>
                <w:lang w:val="en-US" w:eastAsia="zh-CN"/>
              </w:rPr>
            </w:pPr>
            <w:r>
              <w:rPr>
                <w:rFonts w:hint="eastAsia"/>
                <w:vertAlign w:val="baseline"/>
                <w:lang w:val="en-US" w:eastAsia="zh-CN"/>
              </w:rPr>
              <w:t>报价</w:t>
            </w:r>
          </w:p>
        </w:tc>
        <w:tc>
          <w:tcPr>
            <w:tcW w:w="3049" w:type="dxa"/>
          </w:tcPr>
          <w:p>
            <w:pPr>
              <w:rPr>
                <w:rFonts w:hint="default" w:eastAsiaTheme="minorEastAsia"/>
                <w:vertAlign w:val="baseline"/>
                <w:lang w:val="en-US" w:eastAsia="zh-CN"/>
              </w:rPr>
            </w:pPr>
            <w:r>
              <w:rPr>
                <w:rFonts w:hint="eastAsia"/>
                <w:vertAlign w:val="baseli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3048" w:type="dxa"/>
          </w:tcPr>
          <w:p>
            <w:pPr>
              <w:rPr>
                <w:vertAlign w:val="baseline"/>
              </w:rPr>
            </w:pPr>
            <w:r>
              <w:rPr>
                <w:rFonts w:hint="eastAsia" w:asciiTheme="majorEastAsia" w:hAnsiTheme="majorEastAsia" w:eastAsiaTheme="majorEastAsia" w:cstheme="majorEastAsia"/>
                <w:b/>
                <w:bCs/>
                <w:sz w:val="44"/>
                <w:szCs w:val="44"/>
              </w:rPr>
              <w:t>6号楼楼一层核磁共振室结构鉴定</w:t>
            </w:r>
          </w:p>
        </w:tc>
        <w:tc>
          <w:tcPr>
            <w:tcW w:w="3049" w:type="dxa"/>
          </w:tcPr>
          <w:p>
            <w:pPr>
              <w:rPr>
                <w:vertAlign w:val="baseline"/>
              </w:rPr>
            </w:pPr>
          </w:p>
        </w:tc>
        <w:tc>
          <w:tcPr>
            <w:tcW w:w="3049" w:type="dxa"/>
          </w:tcPr>
          <w:p>
            <w:pPr>
              <w:rPr>
                <w:rFonts w:hint="default" w:eastAsiaTheme="minorEastAsia"/>
                <w:vertAlign w:val="baseline"/>
                <w:lang w:val="en-US" w:eastAsia="zh-CN"/>
              </w:rPr>
            </w:pPr>
            <w:r>
              <w:rPr>
                <w:rFonts w:hint="eastAsia"/>
                <w:vertAlign w:val="baseline"/>
                <w:lang w:val="en-US" w:eastAsia="zh-CN"/>
              </w:rPr>
              <w:t>不超过10天</w:t>
            </w:r>
          </w:p>
        </w:tc>
      </w:tr>
    </w:tbl>
    <w:p/>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黑体" w:hAnsi="Calibri" w:eastAsia="黑体" w:cs="Times New Roman"/>
                <w:b/>
                <w:bCs/>
                <w:kern w:val="44"/>
                <w:sz w:val="36"/>
                <w:szCs w:val="44"/>
                <w:lang w:val="en-US" w:eastAsia="zh-CN" w:bidi="ar-SA"/>
              </w:rPr>
              <w:t>6号楼楼一层核磁共振室结构鉴</w:t>
            </w:r>
            <w:bookmarkStart w:id="2" w:name="_GoBack"/>
            <w:bookmarkEnd w:id="2"/>
            <w:r>
              <w:rPr>
                <w:rFonts w:hint="eastAsia" w:ascii="黑体" w:hAnsi="Calibri" w:eastAsia="黑体" w:cs="Times New Roman"/>
                <w:b/>
                <w:bCs/>
                <w:kern w:val="44"/>
                <w:sz w:val="36"/>
                <w:szCs w:val="44"/>
                <w:lang w:val="en-US" w:eastAsia="zh-CN" w:bidi="ar-SA"/>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18"/>
                <w:szCs w:val="18"/>
                <w:lang w:eastAsia="zh-CN"/>
              </w:rPr>
            </w:pPr>
            <w:r>
              <w:rPr>
                <w:rFonts w:hint="eastAsia" w:ascii="Calibri" w:hAnsi="Calibri" w:eastAsia="宋体" w:cs="Times New Roman"/>
                <w:sz w:val="18"/>
                <w:szCs w:val="18"/>
                <w:lang w:eastAsia="zh-CN"/>
              </w:rPr>
              <w:t>①营业执照</w:t>
            </w:r>
          </w:p>
          <w:p>
            <w:pPr>
              <w:spacing w:line="400" w:lineRule="exact"/>
              <w:rPr>
                <w:rFonts w:hint="eastAsia" w:ascii="Calibri" w:hAnsi="Calibri" w:eastAsia="宋体" w:cs="Times New Roman"/>
                <w:sz w:val="18"/>
                <w:szCs w:val="18"/>
                <w:lang w:eastAsia="zh-CN"/>
              </w:rPr>
            </w:pPr>
            <w:r>
              <w:rPr>
                <w:rFonts w:hint="default" w:ascii="Calibri" w:hAnsi="Calibri" w:eastAsia="宋体" w:cs="Calibri"/>
                <w:sz w:val="24"/>
                <w:szCs w:val="24"/>
                <w:lang w:eastAsia="zh-CN"/>
              </w:rPr>
              <w:t>②</w:t>
            </w:r>
            <w:r>
              <w:rPr>
                <w:rFonts w:hint="eastAsia" w:ascii="宋体" w:hAnsi="宋体" w:eastAsia="宋体" w:cs="宋体"/>
                <w:sz w:val="18"/>
                <w:szCs w:val="18"/>
              </w:rPr>
              <w:t>具有建设行政主管部门颁发的《建设工程质量检测机构资质证书》（综合资质或检测范围须包含主体结构工程检测或主体结构及装饰装修检测专项）</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宋体" w:hAnsi="宋体" w:eastAsia="宋体" w:cs="宋体"/>
                <w:sz w:val="24"/>
                <w:szCs w:val="24"/>
                <w:lang w:eastAsia="zh-CN"/>
              </w:rPr>
              <w:t>④</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hint="eastAsia" w:ascii="方正仿宋_GBK" w:eastAsia="方正仿宋_GBK"/>
          <w:b/>
          <w:sz w:val="32"/>
          <w:lang w:val="en-US" w:eastAsia="zh-CN"/>
        </w:rPr>
      </w:pPr>
    </w:p>
    <w:p>
      <w:pPr>
        <w:pStyle w:val="16"/>
        <w:adjustRightInd w:val="0"/>
        <w:spacing w:before="160" w:after="160"/>
        <w:ind w:firstLine="643"/>
        <w:contextualSpacing/>
        <w:rPr>
          <w:rFonts w:hint="eastAsia" w:ascii="方正仿宋_GBK" w:eastAsia="方正仿宋_GBK"/>
          <w:b/>
          <w:sz w:val="32"/>
          <w:lang w:val="en-US" w:eastAsia="zh-CN"/>
        </w:rPr>
      </w:pPr>
    </w:p>
    <w:p>
      <w:pPr>
        <w:pStyle w:val="16"/>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6"/>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年  月  日</w:t>
      </w:r>
    </w:p>
    <w:p>
      <w:pPr>
        <w:widowControl/>
        <w:adjustRightInd w:val="0"/>
        <w:spacing w:before="160" w:after="160"/>
        <w:contextualSpacing/>
        <w:jc w:val="left"/>
        <w:rPr>
          <w:rFonts w:ascii="宋体" w:hAnsi="宋体" w:eastAsia="宋体"/>
          <w:bCs/>
          <w:szCs w:val="21"/>
        </w:rPr>
      </w:pPr>
    </w:p>
    <w:p>
      <w:pPr>
        <w:jc w:val="left"/>
        <w:rPr>
          <w:rFonts w:hint="eastAsia"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附件6：评分表</w:t>
      </w:r>
    </w:p>
    <w:p>
      <w:pPr>
        <w:pStyle w:val="2"/>
        <w:rPr>
          <w:rFonts w:hint="default" w:eastAsiaTheme="minorEastAsia"/>
          <w:bCs/>
          <w:lang w:val="en-US" w:eastAsia="zh-CN"/>
        </w:rPr>
      </w:pPr>
    </w:p>
    <w:tbl>
      <w:tblPr>
        <w:tblStyle w:val="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299"/>
        <w:gridCol w:w="756"/>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b/>
                <w:bCs/>
                <w:sz w:val="24"/>
                <w:szCs w:val="24"/>
                <w14:ligatures w14:val="none"/>
              </w:rPr>
            </w:pPr>
            <w:r>
              <w:rPr>
                <w:rFonts w:hint="eastAsia" w:ascii="仿宋" w:hAnsi="仿宋" w:eastAsia="仿宋" w:cs="Times New Roman"/>
                <w:b/>
                <w:bCs/>
                <w:sz w:val="24"/>
                <w:szCs w:val="24"/>
                <w14:ligatures w14:val="none"/>
              </w:rPr>
              <w:t>序号</w:t>
            </w:r>
          </w:p>
        </w:tc>
        <w:tc>
          <w:tcPr>
            <w:tcW w:w="711" w:type="pct"/>
            <w:vAlign w:val="center"/>
          </w:tcPr>
          <w:p>
            <w:pPr>
              <w:spacing w:line="276" w:lineRule="auto"/>
              <w:contextualSpacing/>
              <w:jc w:val="center"/>
              <w:rPr>
                <w:rFonts w:ascii="仿宋" w:hAnsi="仿宋" w:eastAsia="仿宋" w:cs="Times New Roman"/>
                <w:b/>
                <w:bCs/>
                <w:sz w:val="24"/>
                <w:szCs w:val="24"/>
                <w14:ligatures w14:val="none"/>
              </w:rPr>
            </w:pPr>
            <w:r>
              <w:rPr>
                <w:rFonts w:hint="eastAsia" w:ascii="仿宋" w:hAnsi="仿宋" w:eastAsia="仿宋" w:cs="Times New Roman"/>
                <w:b/>
                <w:bCs/>
                <w:sz w:val="24"/>
                <w:szCs w:val="24"/>
                <w14:ligatures w14:val="none"/>
              </w:rPr>
              <w:t>评审内容</w:t>
            </w:r>
          </w:p>
        </w:tc>
        <w:tc>
          <w:tcPr>
            <w:tcW w:w="414" w:type="pct"/>
            <w:vAlign w:val="center"/>
          </w:tcPr>
          <w:p>
            <w:pPr>
              <w:spacing w:line="276" w:lineRule="auto"/>
              <w:contextualSpacing/>
              <w:jc w:val="center"/>
              <w:rPr>
                <w:rFonts w:ascii="仿宋" w:hAnsi="仿宋" w:eastAsia="仿宋" w:cs="Times New Roman"/>
                <w:b/>
                <w:bCs/>
                <w:sz w:val="24"/>
                <w:szCs w:val="24"/>
                <w14:ligatures w14:val="none"/>
              </w:rPr>
            </w:pPr>
            <w:r>
              <w:rPr>
                <w:rFonts w:ascii="仿宋" w:hAnsi="仿宋" w:eastAsia="仿宋" w:cs="Times New Roman"/>
                <w:b/>
                <w:bCs/>
                <w:kern w:val="0"/>
                <w:sz w:val="24"/>
                <w:szCs w:val="24"/>
                <w14:ligatures w14:val="none"/>
              </w:rPr>
              <w:t>分值</w:t>
            </w:r>
          </w:p>
        </w:tc>
        <w:tc>
          <w:tcPr>
            <w:tcW w:w="3493" w:type="pct"/>
            <w:vAlign w:val="center"/>
          </w:tcPr>
          <w:p>
            <w:pPr>
              <w:spacing w:line="276" w:lineRule="auto"/>
              <w:contextualSpacing/>
              <w:jc w:val="center"/>
              <w:rPr>
                <w:rFonts w:ascii="仿宋" w:hAnsi="仿宋" w:eastAsia="仿宋" w:cs="Times New Roman"/>
                <w:b/>
                <w:bCs/>
                <w:sz w:val="24"/>
                <w:szCs w:val="24"/>
                <w14:ligatures w14:val="none"/>
              </w:rPr>
            </w:pPr>
            <w:r>
              <w:rPr>
                <w:rFonts w:ascii="仿宋" w:hAnsi="仿宋" w:eastAsia="仿宋" w:cs="Times New Roman"/>
                <w:b/>
                <w:bCs/>
                <w:kern w:val="0"/>
                <w:sz w:val="24"/>
                <w:szCs w:val="24"/>
                <w14:ligatures w14: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1</w:t>
            </w:r>
          </w:p>
        </w:tc>
        <w:tc>
          <w:tcPr>
            <w:tcW w:w="711"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总报价</w:t>
            </w:r>
          </w:p>
        </w:tc>
        <w:tc>
          <w:tcPr>
            <w:tcW w:w="414"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lang w:val="en-US" w:eastAsia="zh-CN"/>
                <w14:ligatures w14:val="none"/>
              </w:rPr>
              <w:t>30</w:t>
            </w:r>
            <w:r>
              <w:rPr>
                <w:rFonts w:ascii="仿宋" w:hAnsi="仿宋" w:eastAsia="仿宋" w:cs="Times New Roman"/>
                <w:sz w:val="24"/>
                <w:szCs w:val="24"/>
                <w14:ligatures w14:val="none"/>
              </w:rPr>
              <w:t>分</w:t>
            </w:r>
          </w:p>
        </w:tc>
        <w:tc>
          <w:tcPr>
            <w:tcW w:w="3493" w:type="pct"/>
            <w:vAlign w:val="center"/>
          </w:tcPr>
          <w:p>
            <w:pPr>
              <w:spacing w:line="276" w:lineRule="auto"/>
              <w:contextualSpacing/>
              <w:rPr>
                <w:rFonts w:ascii="仿宋" w:hAnsi="仿宋" w:eastAsia="仿宋" w:cs="Times New Roman"/>
                <w:sz w:val="24"/>
                <w:szCs w:val="24"/>
                <w14:ligatures w14:val="none"/>
              </w:rPr>
            </w:pPr>
            <w:r>
              <w:rPr>
                <w:rFonts w:hint="eastAsia" w:ascii="宋体" w:hAnsi="宋体"/>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szCs w:val="21"/>
                <w:lang w:val="en-US" w:eastAsia="zh-CN"/>
              </w:rPr>
              <w:t>30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2</w:t>
            </w:r>
          </w:p>
        </w:tc>
        <w:tc>
          <w:tcPr>
            <w:tcW w:w="711"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类似项目</w:t>
            </w:r>
          </w:p>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业绩</w:t>
            </w:r>
          </w:p>
        </w:tc>
        <w:tc>
          <w:tcPr>
            <w:tcW w:w="414"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lang w:val="en-US" w:eastAsia="zh-CN"/>
                <w14:ligatures w14:val="none"/>
              </w:rPr>
              <w:t>10</w:t>
            </w:r>
            <w:r>
              <w:rPr>
                <w:rFonts w:ascii="仿宋" w:hAnsi="仿宋" w:eastAsia="仿宋" w:cs="Times New Roman"/>
                <w:sz w:val="24"/>
                <w:szCs w:val="24"/>
                <w14:ligatures w14:val="none"/>
              </w:rPr>
              <w:t>分</w:t>
            </w:r>
          </w:p>
        </w:tc>
        <w:tc>
          <w:tcPr>
            <w:tcW w:w="3493" w:type="pct"/>
            <w:vAlign w:val="center"/>
          </w:tcPr>
          <w:p>
            <w:pPr>
              <w:spacing w:line="276" w:lineRule="auto"/>
              <w:contextualSpacing/>
              <w:rPr>
                <w:rFonts w:ascii="仿宋" w:hAnsi="仿宋" w:eastAsia="仿宋" w:cs="Times New Roman"/>
                <w:sz w:val="24"/>
                <w:szCs w:val="24"/>
                <w14:ligatures w14:val="none"/>
              </w:rPr>
            </w:pPr>
            <w:r>
              <w:rPr>
                <w:rFonts w:ascii="仿宋" w:hAnsi="仿宋" w:eastAsia="仿宋" w:cs="Times New Roman"/>
                <w:sz w:val="24"/>
                <w:szCs w:val="24"/>
                <w14:ligatures w14:val="none"/>
              </w:rPr>
              <w:t>报价单位近三年（磋商日前推三年精确到日）</w:t>
            </w:r>
            <w:r>
              <w:rPr>
                <w:rFonts w:hint="eastAsia" w:ascii="仿宋" w:hAnsi="仿宋" w:eastAsia="仿宋" w:cs="Times New Roman"/>
                <w:sz w:val="24"/>
                <w:szCs w:val="24"/>
                <w14:ligatures w14:val="none"/>
              </w:rPr>
              <w:t>完成的类似项目业绩</w:t>
            </w:r>
            <w:r>
              <w:rPr>
                <w:rFonts w:ascii="仿宋" w:hAnsi="仿宋" w:eastAsia="仿宋" w:cs="Times New Roman"/>
                <w:sz w:val="24"/>
                <w:szCs w:val="24"/>
                <w14:ligatures w14:val="none"/>
              </w:rPr>
              <w:t>，每有一个得</w:t>
            </w:r>
            <w:r>
              <w:rPr>
                <w:rFonts w:hint="eastAsia" w:ascii="仿宋" w:hAnsi="仿宋" w:eastAsia="仿宋" w:cs="Times New Roman"/>
                <w:sz w:val="24"/>
                <w:szCs w:val="24"/>
                <w:lang w:val="en-US" w:eastAsia="zh-CN"/>
                <w14:ligatures w14:val="none"/>
              </w:rPr>
              <w:t>2</w:t>
            </w:r>
            <w:r>
              <w:rPr>
                <w:rFonts w:ascii="仿宋" w:hAnsi="仿宋" w:eastAsia="仿宋" w:cs="Times New Roman"/>
                <w:sz w:val="24"/>
                <w:szCs w:val="24"/>
                <w14:ligatures w14:val="none"/>
              </w:rPr>
              <w:t>分，最高得</w:t>
            </w:r>
            <w:r>
              <w:rPr>
                <w:rFonts w:hint="eastAsia" w:ascii="仿宋" w:hAnsi="仿宋" w:eastAsia="仿宋" w:cs="Times New Roman"/>
                <w:sz w:val="24"/>
                <w:szCs w:val="24"/>
                <w:lang w:val="en-US" w:eastAsia="zh-CN"/>
                <w14:ligatures w14:val="none"/>
              </w:rPr>
              <w:t>10</w:t>
            </w:r>
            <w:r>
              <w:rPr>
                <w:rFonts w:ascii="仿宋" w:hAnsi="仿宋" w:eastAsia="仿宋" w:cs="Times New Roman"/>
                <w:sz w:val="24"/>
                <w:szCs w:val="24"/>
                <w14:ligatures w14:val="none"/>
              </w:rPr>
              <w:t>分。</w:t>
            </w:r>
          </w:p>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注：（1）时间以合同签订时间为准；</w:t>
            </w:r>
          </w:p>
          <w:p>
            <w:pPr>
              <w:spacing w:line="276" w:lineRule="auto"/>
              <w:contextualSpacing/>
              <w:rPr>
                <w:rFonts w:ascii="仿宋" w:hAnsi="仿宋" w:eastAsia="仿宋" w:cs="Times New Roman"/>
                <w:sz w:val="24"/>
                <w:szCs w:val="24"/>
                <w14:ligatures w14:val="none"/>
              </w:rPr>
            </w:pPr>
            <w:r>
              <w:rPr>
                <w:rFonts w:ascii="仿宋" w:hAnsi="仿宋" w:eastAsia="仿宋" w:cs="Times New Roman"/>
                <w:bCs/>
                <w:sz w:val="24"/>
                <w:szCs w:val="24"/>
                <w14:ligatures w14:val="none"/>
              </w:rPr>
              <w:t>（2）</w:t>
            </w:r>
            <w:r>
              <w:rPr>
                <w:rFonts w:hint="eastAsia" w:ascii="仿宋" w:hAnsi="仿宋" w:eastAsia="仿宋" w:cs="Times New Roman"/>
                <w:bCs/>
                <w:sz w:val="24"/>
                <w:szCs w:val="24"/>
                <w14:ligatures w14:val="none"/>
              </w:rPr>
              <w:t>需附合同主要页面复印件</w:t>
            </w:r>
            <w:r>
              <w:rPr>
                <w:rFonts w:ascii="仿宋" w:hAnsi="仿宋" w:eastAsia="仿宋" w:cs="Times New Roman"/>
                <w:bCs/>
                <w:sz w:val="24"/>
                <w:szCs w:val="24"/>
                <w14:ligatures w14:val="none"/>
              </w:rPr>
              <w:t>，</w:t>
            </w:r>
            <w:r>
              <w:rPr>
                <w:rFonts w:hint="eastAsia" w:ascii="仿宋" w:hAnsi="仿宋" w:eastAsia="仿宋" w:cs="Times New Roman"/>
                <w:bCs/>
                <w:sz w:val="24"/>
                <w:szCs w:val="24"/>
                <w14:ligatures w14:val="none"/>
              </w:rPr>
              <w:t>否则</w:t>
            </w:r>
            <w:r>
              <w:rPr>
                <w:rFonts w:ascii="仿宋" w:hAnsi="仿宋" w:eastAsia="仿宋" w:cs="Times New Roman"/>
                <w:bCs/>
                <w:sz w:val="24"/>
                <w:szCs w:val="24"/>
                <w14:ligatures w14: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4</w:t>
            </w:r>
          </w:p>
        </w:tc>
        <w:tc>
          <w:tcPr>
            <w:tcW w:w="711"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项目负责人</w:t>
            </w:r>
          </w:p>
        </w:tc>
        <w:tc>
          <w:tcPr>
            <w:tcW w:w="414"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6分</w:t>
            </w:r>
          </w:p>
        </w:tc>
        <w:tc>
          <w:tcPr>
            <w:tcW w:w="3493" w:type="pct"/>
            <w:vAlign w:val="center"/>
          </w:tcPr>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1、项目负责人具有</w:t>
            </w:r>
            <w:r>
              <w:rPr>
                <w:rFonts w:hint="eastAsia" w:ascii="仿宋" w:hAnsi="仿宋" w:eastAsia="仿宋" w:cs="Times New Roman"/>
                <w:bCs/>
                <w:sz w:val="24"/>
                <w:szCs w:val="24"/>
                <w14:ligatures w14:val="none"/>
              </w:rPr>
              <w:t>一</w:t>
            </w:r>
            <w:r>
              <w:rPr>
                <w:rFonts w:ascii="仿宋" w:hAnsi="仿宋" w:eastAsia="仿宋" w:cs="Times New Roman"/>
                <w:bCs/>
                <w:sz w:val="24"/>
                <w:szCs w:val="24"/>
                <w14:ligatures w14:val="none"/>
              </w:rPr>
              <w:t>级注册结构工程师执业资格证书的得3分，不具备者不得分，本项最高得3分。</w:t>
            </w:r>
          </w:p>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2、项目负责人具有工程系列</w:t>
            </w:r>
            <w:r>
              <w:rPr>
                <w:rFonts w:hint="eastAsia" w:ascii="仿宋" w:hAnsi="仿宋" w:eastAsia="仿宋" w:cs="Times New Roman"/>
                <w:bCs/>
                <w:sz w:val="24"/>
                <w:szCs w:val="24"/>
                <w14:ligatures w14:val="none"/>
              </w:rPr>
              <w:t>高级</w:t>
            </w:r>
            <w:r>
              <w:rPr>
                <w:rFonts w:ascii="仿宋" w:hAnsi="仿宋" w:eastAsia="仿宋" w:cs="Times New Roman"/>
                <w:bCs/>
                <w:sz w:val="24"/>
                <w:szCs w:val="24"/>
                <w14:ligatures w14:val="none"/>
              </w:rPr>
              <w:t>工程师职称证书的得3分，其他不得分，本项最高得3分。</w:t>
            </w:r>
          </w:p>
          <w:p>
            <w:pPr>
              <w:spacing w:line="276" w:lineRule="auto"/>
              <w:contextualSpacing/>
              <w:rPr>
                <w:rFonts w:ascii="仿宋" w:hAnsi="仿宋" w:eastAsia="仿宋" w:cs="Times New Roman"/>
                <w:b/>
                <w:sz w:val="24"/>
                <w:szCs w:val="24"/>
                <w14:ligatures w14:val="none"/>
              </w:rPr>
            </w:pPr>
            <w:r>
              <w:rPr>
                <w:rFonts w:ascii="仿宋" w:hAnsi="仿宋" w:eastAsia="仿宋" w:cs="Times New Roman"/>
                <w:bCs/>
                <w:sz w:val="24"/>
                <w:szCs w:val="24"/>
                <w14:ligatures w14:val="none"/>
              </w:rPr>
              <w:t>注：响应文件中附项目负责人</w:t>
            </w:r>
            <w:r>
              <w:rPr>
                <w:rFonts w:hint="eastAsia" w:ascii="仿宋" w:hAnsi="仿宋" w:eastAsia="仿宋" w:cs="Times New Roman"/>
                <w:bCs/>
                <w:sz w:val="24"/>
                <w:szCs w:val="24"/>
                <w14:ligatures w14:val="none"/>
              </w:rPr>
              <w:t>社保证明及</w:t>
            </w:r>
            <w:r>
              <w:rPr>
                <w:rFonts w:ascii="仿宋" w:hAnsi="仿宋" w:eastAsia="仿宋" w:cs="Times New Roman"/>
                <w:bCs/>
                <w:sz w:val="24"/>
                <w:szCs w:val="24"/>
                <w14:ligatures w14:val="none"/>
              </w:rPr>
              <w:t>相关证书复印件，否则不得分。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5</w:t>
            </w:r>
          </w:p>
        </w:tc>
        <w:tc>
          <w:tcPr>
            <w:tcW w:w="711"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服务团队成员能力</w:t>
            </w:r>
          </w:p>
        </w:tc>
        <w:tc>
          <w:tcPr>
            <w:tcW w:w="414"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9</w:t>
            </w:r>
            <w:r>
              <w:rPr>
                <w:rFonts w:ascii="仿宋" w:hAnsi="仿宋" w:eastAsia="仿宋" w:cs="Times New Roman"/>
                <w:sz w:val="24"/>
                <w:szCs w:val="24"/>
                <w14:ligatures w14:val="none"/>
              </w:rPr>
              <w:t>分</w:t>
            </w:r>
          </w:p>
        </w:tc>
        <w:tc>
          <w:tcPr>
            <w:tcW w:w="3493" w:type="pct"/>
            <w:vAlign w:val="center"/>
          </w:tcPr>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拟投入本项目的团队成员（项目负责人除外）具有二级及以上注册结构工程师执业资格证书的，每人得</w:t>
            </w:r>
            <w:r>
              <w:rPr>
                <w:rFonts w:hint="eastAsia" w:ascii="仿宋" w:hAnsi="仿宋" w:eastAsia="仿宋" w:cs="Times New Roman"/>
                <w:bCs/>
                <w:sz w:val="24"/>
                <w:szCs w:val="24"/>
                <w14:ligatures w14:val="none"/>
              </w:rPr>
              <w:t>2</w:t>
            </w:r>
            <w:r>
              <w:rPr>
                <w:rFonts w:ascii="仿宋" w:hAnsi="仿宋" w:eastAsia="仿宋" w:cs="Times New Roman"/>
                <w:bCs/>
                <w:sz w:val="24"/>
                <w:szCs w:val="24"/>
                <w14:ligatures w14:val="none"/>
              </w:rPr>
              <w:t>分，最高得</w:t>
            </w:r>
            <w:r>
              <w:rPr>
                <w:rFonts w:hint="eastAsia" w:ascii="仿宋" w:hAnsi="仿宋" w:eastAsia="仿宋" w:cs="Times New Roman"/>
                <w:bCs/>
                <w:sz w:val="24"/>
                <w:szCs w:val="24"/>
                <w14:ligatures w14:val="none"/>
              </w:rPr>
              <w:t>4</w:t>
            </w:r>
            <w:r>
              <w:rPr>
                <w:rFonts w:ascii="仿宋" w:hAnsi="仿宋" w:eastAsia="仿宋" w:cs="Times New Roman"/>
                <w:bCs/>
                <w:sz w:val="24"/>
                <w:szCs w:val="24"/>
                <w14:ligatures w14:val="none"/>
              </w:rPr>
              <w:t>分；具有工程系列</w:t>
            </w:r>
            <w:r>
              <w:rPr>
                <w:rFonts w:hint="eastAsia" w:ascii="仿宋" w:hAnsi="仿宋" w:eastAsia="仿宋" w:cs="Times New Roman"/>
                <w:bCs/>
                <w:sz w:val="24"/>
                <w:szCs w:val="24"/>
                <w14:ligatures w14:val="none"/>
              </w:rPr>
              <w:t>中级及以上</w:t>
            </w:r>
            <w:r>
              <w:rPr>
                <w:rFonts w:ascii="仿宋" w:hAnsi="仿宋" w:eastAsia="仿宋" w:cs="Times New Roman"/>
                <w:bCs/>
                <w:sz w:val="24"/>
                <w:szCs w:val="24"/>
                <w14:ligatures w14:val="none"/>
              </w:rPr>
              <w:t>职称的，每有一名加</w:t>
            </w:r>
            <w:r>
              <w:rPr>
                <w:rFonts w:hint="eastAsia" w:ascii="仿宋" w:hAnsi="仿宋" w:eastAsia="仿宋" w:cs="Times New Roman"/>
                <w:bCs/>
                <w:sz w:val="24"/>
                <w:szCs w:val="24"/>
                <w14:ligatures w14:val="none"/>
              </w:rPr>
              <w:t>1</w:t>
            </w:r>
            <w:r>
              <w:rPr>
                <w:rFonts w:ascii="仿宋" w:hAnsi="仿宋" w:eastAsia="仿宋" w:cs="Times New Roman"/>
                <w:bCs/>
                <w:sz w:val="24"/>
                <w:szCs w:val="24"/>
                <w14:ligatures w14:val="none"/>
              </w:rPr>
              <w:t>分，最高得</w:t>
            </w:r>
            <w:r>
              <w:rPr>
                <w:rFonts w:hint="eastAsia" w:ascii="仿宋" w:hAnsi="仿宋" w:eastAsia="仿宋" w:cs="Times New Roman"/>
                <w:bCs/>
                <w:sz w:val="24"/>
                <w:szCs w:val="24"/>
                <w14:ligatures w14:val="none"/>
              </w:rPr>
              <w:t>5</w:t>
            </w:r>
            <w:r>
              <w:rPr>
                <w:rFonts w:ascii="仿宋" w:hAnsi="仿宋" w:eastAsia="仿宋" w:cs="Times New Roman"/>
                <w:bCs/>
                <w:sz w:val="24"/>
                <w:szCs w:val="24"/>
                <w14:ligatures w14:val="none"/>
              </w:rPr>
              <w:t>分。本项最高得</w:t>
            </w:r>
            <w:r>
              <w:rPr>
                <w:rFonts w:hint="eastAsia" w:ascii="仿宋" w:hAnsi="仿宋" w:eastAsia="仿宋" w:cs="Times New Roman"/>
                <w:bCs/>
                <w:sz w:val="24"/>
                <w:szCs w:val="24"/>
                <w14:ligatures w14:val="none"/>
              </w:rPr>
              <w:t>9</w:t>
            </w:r>
            <w:r>
              <w:rPr>
                <w:rFonts w:ascii="仿宋" w:hAnsi="仿宋" w:eastAsia="仿宋" w:cs="Times New Roman"/>
                <w:bCs/>
                <w:sz w:val="24"/>
                <w:szCs w:val="24"/>
                <w14:ligatures w14:val="none"/>
              </w:rPr>
              <w:t>分。</w:t>
            </w:r>
          </w:p>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注：（1）同一团队成员同时具有注册结构工程师执业资格证书和职称证书的，以注册结构工程师计分，不重复计分。</w:t>
            </w:r>
          </w:p>
          <w:p>
            <w:pPr>
              <w:spacing w:line="276" w:lineRule="auto"/>
              <w:contextualSpacing/>
              <w:rPr>
                <w:rFonts w:ascii="仿宋" w:hAnsi="仿宋" w:eastAsia="仿宋" w:cs="Times New Roman"/>
                <w:sz w:val="24"/>
                <w:szCs w:val="24"/>
                <w14:ligatures w14:val="none"/>
              </w:rPr>
            </w:pPr>
            <w:r>
              <w:rPr>
                <w:rFonts w:ascii="仿宋" w:hAnsi="仿宋" w:eastAsia="仿宋" w:cs="Times New Roman"/>
                <w:bCs/>
                <w:sz w:val="24"/>
                <w:szCs w:val="24"/>
                <w14:ligatures w14:val="none"/>
              </w:rPr>
              <w:t>（2）响应文件中附团队成员（项目负责人除外）</w:t>
            </w:r>
            <w:r>
              <w:rPr>
                <w:rFonts w:hint="eastAsia" w:ascii="仿宋" w:hAnsi="仿宋" w:eastAsia="仿宋" w:cs="Times New Roman"/>
                <w:bCs/>
                <w:sz w:val="24"/>
                <w:szCs w:val="24"/>
                <w14:ligatures w14:val="none"/>
              </w:rPr>
              <w:t>社保证明及</w:t>
            </w:r>
            <w:r>
              <w:rPr>
                <w:rFonts w:ascii="仿宋" w:hAnsi="仿宋" w:eastAsia="仿宋" w:cs="Times New Roman"/>
                <w:bCs/>
                <w:sz w:val="24"/>
                <w:szCs w:val="24"/>
                <w14:ligatures w14:val="none"/>
              </w:rPr>
              <w:t>相关证书复印件，否则不得分。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14:ligatures w14:val="none"/>
              </w:rPr>
              <w:t>7</w:t>
            </w:r>
          </w:p>
        </w:tc>
        <w:tc>
          <w:tcPr>
            <w:tcW w:w="711" w:type="pct"/>
            <w:vAlign w:val="center"/>
          </w:tcPr>
          <w:p>
            <w:pPr>
              <w:spacing w:line="276" w:lineRule="auto"/>
              <w:contextualSpacing/>
              <w:jc w:val="center"/>
              <w:rPr>
                <w:rFonts w:ascii="仿宋" w:hAnsi="仿宋" w:eastAsia="仿宋" w:cs="Times New Roman"/>
                <w:sz w:val="24"/>
                <w:szCs w:val="24"/>
                <w14:ligatures w14:val="none"/>
              </w:rPr>
            </w:pPr>
            <w:r>
              <w:rPr>
                <w:rFonts w:ascii="仿宋" w:hAnsi="仿宋" w:eastAsia="仿宋" w:cs="Times New Roman"/>
                <w:sz w:val="24"/>
                <w:szCs w:val="24"/>
                <w14:ligatures w14:val="none"/>
              </w:rPr>
              <w:t>服务方案</w:t>
            </w:r>
          </w:p>
        </w:tc>
        <w:tc>
          <w:tcPr>
            <w:tcW w:w="414" w:type="pct"/>
            <w:vAlign w:val="center"/>
          </w:tcPr>
          <w:p>
            <w:pPr>
              <w:spacing w:line="276" w:lineRule="auto"/>
              <w:contextualSpacing/>
              <w:jc w:val="center"/>
              <w:rPr>
                <w:rFonts w:ascii="仿宋" w:hAnsi="仿宋" w:eastAsia="仿宋" w:cs="Times New Roman"/>
                <w:sz w:val="24"/>
                <w:szCs w:val="24"/>
                <w14:ligatures w14:val="none"/>
              </w:rPr>
            </w:pPr>
            <w:r>
              <w:rPr>
                <w:rFonts w:hint="eastAsia" w:ascii="仿宋" w:hAnsi="仿宋" w:eastAsia="仿宋" w:cs="Times New Roman"/>
                <w:sz w:val="24"/>
                <w:szCs w:val="24"/>
                <w:lang w:val="en-US" w:eastAsia="zh-CN"/>
                <w14:ligatures w14:val="none"/>
              </w:rPr>
              <w:t>45</w:t>
            </w:r>
            <w:r>
              <w:rPr>
                <w:rFonts w:ascii="仿宋" w:hAnsi="仿宋" w:eastAsia="仿宋" w:cs="Times New Roman"/>
                <w:sz w:val="24"/>
                <w:szCs w:val="24"/>
                <w14:ligatures w14:val="none"/>
              </w:rPr>
              <w:t>分</w:t>
            </w:r>
          </w:p>
        </w:tc>
        <w:tc>
          <w:tcPr>
            <w:tcW w:w="3493" w:type="pct"/>
            <w:vAlign w:val="center"/>
          </w:tcPr>
          <w:p>
            <w:pPr>
              <w:spacing w:line="276" w:lineRule="auto"/>
              <w:contextualSpacing/>
              <w:rPr>
                <w:rFonts w:ascii="仿宋" w:hAnsi="仿宋" w:eastAsia="仿宋" w:cs="Times New Roman"/>
                <w:bCs/>
                <w:sz w:val="24"/>
                <w:szCs w:val="24"/>
                <w14:ligatures w14:val="none"/>
              </w:rPr>
            </w:pPr>
            <w:r>
              <w:rPr>
                <w:rFonts w:ascii="仿宋" w:hAnsi="仿宋" w:eastAsia="仿宋" w:cs="Times New Roman"/>
                <w:bCs/>
                <w:sz w:val="24"/>
                <w:szCs w:val="24"/>
                <w14:ligatures w14:val="none"/>
              </w:rPr>
              <w:t>根据报价单位服务方案科学性、合理性、完善性；工作内容是否齐全，工作方法、工作流程是否合理有效，实施要点是否分析透彻且有针对性，由磋商小组在1-35分之间酌情打分。</w:t>
            </w:r>
          </w:p>
        </w:tc>
      </w:tr>
    </w:tbl>
    <w:p>
      <w:pPr>
        <w:pStyle w:val="2"/>
        <w:rPr>
          <w:rFonts w:hint="default" w:eastAsiaTheme="minorEastAsia"/>
          <w:bCs/>
          <w:lang w:val="en-US" w:eastAsia="zh-CN"/>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AD8E9B-330F-4FE9-BBC9-E63FA58B2D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E4B762-7C7B-42BB-ACCE-ED166DA0A70F}"/>
  </w:font>
  <w:font w:name="方正仿宋_GBK">
    <w:panose1 w:val="03000509000000000000"/>
    <w:charset w:val="86"/>
    <w:family w:val="script"/>
    <w:pitch w:val="default"/>
    <w:sig w:usb0="00000001" w:usb1="080E0000" w:usb2="00000000" w:usb3="00000000" w:csb0="00040000" w:csb1="00000000"/>
    <w:embedRegular r:id="rId3" w:fontKey="{FFF29A8D-ECBD-46F6-83AE-B643E0EF3A17}"/>
  </w:font>
  <w:font w:name="方正小标宋_GBK">
    <w:panose1 w:val="03000509000000000000"/>
    <w:charset w:val="86"/>
    <w:family w:val="script"/>
    <w:pitch w:val="default"/>
    <w:sig w:usb0="00000001" w:usb1="080E0000" w:usb2="00000000" w:usb3="00000000" w:csb0="00040000" w:csb1="00000000"/>
    <w:embedRegular r:id="rId4" w:fontKey="{52CF7D53-276A-4E9C-AFA4-F15158274F9B}"/>
  </w:font>
  <w:font w:name="仿宋">
    <w:panose1 w:val="02010609060101010101"/>
    <w:charset w:val="86"/>
    <w:family w:val="modern"/>
    <w:pitch w:val="default"/>
    <w:sig w:usb0="800002BF" w:usb1="38CF7CFA" w:usb2="00000016" w:usb3="00000000" w:csb0="00040001" w:csb1="00000000"/>
    <w:embedRegular r:id="rId5" w:fontKey="{E4C23071-6F2B-4D19-BDFB-0D87618C35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256579"/>
    <w:rsid w:val="033C5388"/>
    <w:rsid w:val="038068C0"/>
    <w:rsid w:val="05271CE3"/>
    <w:rsid w:val="06AB1E0B"/>
    <w:rsid w:val="06EC78A0"/>
    <w:rsid w:val="0B385885"/>
    <w:rsid w:val="12CC1DBF"/>
    <w:rsid w:val="13996DAC"/>
    <w:rsid w:val="13E97A8B"/>
    <w:rsid w:val="13EE7E6C"/>
    <w:rsid w:val="16EF04BD"/>
    <w:rsid w:val="1AFE1664"/>
    <w:rsid w:val="1CC35F44"/>
    <w:rsid w:val="1CE4719A"/>
    <w:rsid w:val="206029C1"/>
    <w:rsid w:val="20B7141E"/>
    <w:rsid w:val="22220DE5"/>
    <w:rsid w:val="22C713AB"/>
    <w:rsid w:val="22F43A1F"/>
    <w:rsid w:val="22FD24A5"/>
    <w:rsid w:val="24B730FC"/>
    <w:rsid w:val="2805210F"/>
    <w:rsid w:val="28576CEA"/>
    <w:rsid w:val="297325AA"/>
    <w:rsid w:val="2990140F"/>
    <w:rsid w:val="2E8E6608"/>
    <w:rsid w:val="305E6EAB"/>
    <w:rsid w:val="31B006DA"/>
    <w:rsid w:val="33E617BD"/>
    <w:rsid w:val="34FC59D1"/>
    <w:rsid w:val="36125141"/>
    <w:rsid w:val="366D5496"/>
    <w:rsid w:val="36C45282"/>
    <w:rsid w:val="3E7C6B56"/>
    <w:rsid w:val="40966984"/>
    <w:rsid w:val="43063938"/>
    <w:rsid w:val="45E37C15"/>
    <w:rsid w:val="47CB3ECE"/>
    <w:rsid w:val="48161295"/>
    <w:rsid w:val="49687BBC"/>
    <w:rsid w:val="4BAD7DD3"/>
    <w:rsid w:val="4D411BCB"/>
    <w:rsid w:val="4E3665B4"/>
    <w:rsid w:val="532C00AA"/>
    <w:rsid w:val="534D6638"/>
    <w:rsid w:val="54ED5DAB"/>
    <w:rsid w:val="55FE7053"/>
    <w:rsid w:val="5A412134"/>
    <w:rsid w:val="60231B89"/>
    <w:rsid w:val="61DE16F5"/>
    <w:rsid w:val="65D26704"/>
    <w:rsid w:val="698D1AEB"/>
    <w:rsid w:val="6BA84C7A"/>
    <w:rsid w:val="7048218F"/>
    <w:rsid w:val="70C15D8C"/>
    <w:rsid w:val="73C06E35"/>
    <w:rsid w:val="74F94E64"/>
    <w:rsid w:val="75911362"/>
    <w:rsid w:val="75DE6045"/>
    <w:rsid w:val="77724C80"/>
    <w:rsid w:val="78612E89"/>
    <w:rsid w:val="78DB4966"/>
    <w:rsid w:val="7A0A71CB"/>
    <w:rsid w:val="7B4C1F62"/>
    <w:rsid w:val="7B9D6F7B"/>
    <w:rsid w:val="7CA73254"/>
    <w:rsid w:val="7DF87568"/>
    <w:rsid w:val="7E557B7C"/>
    <w:rsid w:val="7E68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 w:type="paragraph" w:customStyle="1" w:styleId="21">
    <w:name w:val="样式2"/>
    <w:basedOn w:val="1"/>
    <w:qFormat/>
    <w:uiPriority w:val="0"/>
    <w:pPr>
      <w:spacing w:line="360" w:lineRule="auto"/>
      <w:ind w:firstLine="482" w:firstLineChars="200"/>
    </w:pPr>
    <w:rPr>
      <w:rFonts w:ascii="Times New Roman" w:hAnsi="Times New Roman" w:eastAsia="宋体" w:cs="Times New Roman"/>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0</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2026-01-29T07:41:35Z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