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肠内营养制剂专用袋（202506-4）材料目录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7"/>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7"/>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7"/>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7"/>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w:t>
      </w:r>
      <w:r>
        <w:rPr>
          <w:rFonts w:hint="eastAsia"/>
          <w:sz w:val="24"/>
          <w:szCs w:val="24"/>
          <w:lang w:val="en-US" w:eastAsia="zh-CN"/>
        </w:rPr>
        <w:t>及相关资质</w:t>
      </w:r>
      <w:r>
        <w:rPr>
          <w:rFonts w:hint="eastAsia"/>
          <w:sz w:val="24"/>
          <w:szCs w:val="24"/>
        </w:rPr>
        <w:t>、产品说明书、</w:t>
      </w:r>
      <w:r>
        <w:rPr>
          <w:rFonts w:hint="eastAsia"/>
          <w:b/>
          <w:bCs/>
          <w:color w:val="FF0000"/>
          <w:sz w:val="24"/>
          <w:szCs w:val="24"/>
        </w:rPr>
        <w:t>产品实物图片</w:t>
      </w:r>
      <w:r>
        <w:rPr>
          <w:rFonts w:hint="eastAsia"/>
          <w:sz w:val="24"/>
          <w:szCs w:val="24"/>
          <w:lang w:eastAsia="zh-CN"/>
        </w:rPr>
        <w:t>。</w:t>
      </w:r>
    </w:p>
    <w:p>
      <w:pPr>
        <w:pStyle w:val="1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厂家资质、厂家授权书（若有中间级经销单位，也需提供其授权书，公司资质）、供应商资质、法人给业务员的授权书，附法人和业务员的身份证复印件，以及业务员在投标公司所缴纳社保证明。</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7"/>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7"/>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评分表（见附件6）。</w:t>
      </w:r>
    </w:p>
    <w:p>
      <w:pPr>
        <w:pStyle w:val="2"/>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 xml:space="preserve">   12、产品参数</w:t>
      </w:r>
    </w:p>
    <w:tbl>
      <w:tblPr>
        <w:tblStyle w:val="10"/>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86"/>
        <w:gridCol w:w="1596"/>
        <w:gridCol w:w="3764"/>
        <w:gridCol w:w="81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72" w:type="dxa"/>
            <w:vAlign w:val="center"/>
          </w:tcPr>
          <w:p>
            <w:pPr>
              <w:jc w:val="center"/>
              <w:rPr>
                <w:rFonts w:hint="eastAsia" w:eastAsiaTheme="minorEastAsia"/>
                <w:vertAlign w:val="baseline"/>
                <w:lang w:eastAsia="zh-CN"/>
              </w:rPr>
            </w:pPr>
            <w:r>
              <w:rPr>
                <w:rFonts w:hint="eastAsia"/>
                <w:vertAlign w:val="baseline"/>
                <w:lang w:val="en-US" w:eastAsia="zh-CN"/>
              </w:rPr>
              <w:t>包</w:t>
            </w:r>
            <w:r>
              <w:rPr>
                <w:rFonts w:hint="eastAsia"/>
                <w:vertAlign w:val="baseline"/>
                <w:lang w:eastAsia="zh-CN"/>
              </w:rPr>
              <w:t>号</w:t>
            </w:r>
          </w:p>
        </w:tc>
        <w:tc>
          <w:tcPr>
            <w:tcW w:w="886" w:type="dxa"/>
            <w:vAlign w:val="center"/>
          </w:tcPr>
          <w:p>
            <w:pPr>
              <w:jc w:val="center"/>
              <w:rPr>
                <w:rFonts w:hint="eastAsia" w:eastAsiaTheme="minorEastAsia"/>
                <w:vertAlign w:val="baseline"/>
                <w:lang w:eastAsia="zh-CN"/>
              </w:rPr>
            </w:pPr>
            <w:r>
              <w:rPr>
                <w:rFonts w:hint="eastAsia"/>
                <w:vertAlign w:val="baseline"/>
                <w:lang w:eastAsia="zh-CN"/>
              </w:rPr>
              <w:t>通用名称</w:t>
            </w:r>
          </w:p>
        </w:tc>
        <w:tc>
          <w:tcPr>
            <w:tcW w:w="1596" w:type="dxa"/>
            <w:vAlign w:val="center"/>
          </w:tcPr>
          <w:p>
            <w:pPr>
              <w:jc w:val="center"/>
              <w:rPr>
                <w:rFonts w:hint="eastAsia" w:eastAsiaTheme="minorEastAsia"/>
                <w:vertAlign w:val="baseline"/>
                <w:lang w:eastAsia="zh-CN"/>
              </w:rPr>
            </w:pPr>
            <w:r>
              <w:rPr>
                <w:rFonts w:hint="eastAsia"/>
                <w:vertAlign w:val="baseline"/>
                <w:lang w:eastAsia="zh-CN"/>
              </w:rPr>
              <w:t>主要用途</w:t>
            </w:r>
          </w:p>
        </w:tc>
        <w:tc>
          <w:tcPr>
            <w:tcW w:w="3764" w:type="dxa"/>
            <w:vAlign w:val="center"/>
          </w:tcPr>
          <w:p>
            <w:pPr>
              <w:jc w:val="center"/>
              <w:rPr>
                <w:rFonts w:hint="eastAsia" w:eastAsiaTheme="minorEastAsia"/>
                <w:vertAlign w:val="baseline"/>
                <w:lang w:eastAsia="zh-CN"/>
              </w:rPr>
            </w:pPr>
            <w:r>
              <w:rPr>
                <w:rFonts w:hint="eastAsia"/>
                <w:vertAlign w:val="baseline"/>
                <w:lang w:eastAsia="zh-CN"/>
              </w:rPr>
              <w:t>技术指标</w:t>
            </w:r>
          </w:p>
        </w:tc>
        <w:tc>
          <w:tcPr>
            <w:tcW w:w="818" w:type="dxa"/>
            <w:vAlign w:val="center"/>
          </w:tcPr>
          <w:p>
            <w:pPr>
              <w:jc w:val="center"/>
              <w:rPr>
                <w:rFonts w:hint="eastAsia" w:eastAsiaTheme="minorEastAsia"/>
                <w:vertAlign w:val="baseline"/>
                <w:lang w:eastAsia="zh-CN"/>
              </w:rPr>
            </w:pPr>
            <w:r>
              <w:rPr>
                <w:rFonts w:hint="eastAsia"/>
                <w:vertAlign w:val="baseline"/>
                <w:lang w:eastAsia="zh-CN"/>
              </w:rPr>
              <w:t>规格</w:t>
            </w:r>
          </w:p>
        </w:tc>
        <w:tc>
          <w:tcPr>
            <w:tcW w:w="1167" w:type="dxa"/>
            <w:vAlign w:val="center"/>
          </w:tcPr>
          <w:p>
            <w:pPr>
              <w:jc w:val="center"/>
              <w:rPr>
                <w:vertAlign w:val="baseline"/>
              </w:rPr>
            </w:pPr>
            <w:r>
              <w:rPr>
                <w:rFonts w:hint="eastAsia"/>
                <w:vertAlign w:val="baseli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572"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886" w:type="dxa"/>
            <w:vAlign w:val="center"/>
          </w:tcPr>
          <w:p>
            <w:pPr>
              <w:jc w:val="center"/>
              <w:rPr>
                <w:rFonts w:hint="eastAsia" w:eastAsiaTheme="minorEastAsia"/>
                <w:vertAlign w:val="baseline"/>
                <w:lang w:eastAsia="zh-CN"/>
              </w:rPr>
            </w:pPr>
            <w:r>
              <w:rPr>
                <w:rFonts w:hint="eastAsia"/>
                <w:vertAlign w:val="baseline"/>
                <w:lang w:eastAsia="zh-CN"/>
              </w:rPr>
              <w:t>肠内营养制剂专用袋</w:t>
            </w:r>
          </w:p>
        </w:tc>
        <w:tc>
          <w:tcPr>
            <w:tcW w:w="1596" w:type="dxa"/>
            <w:vAlign w:val="center"/>
          </w:tcPr>
          <w:p>
            <w:pPr>
              <w:jc w:val="center"/>
              <w:rPr>
                <w:rFonts w:hint="eastAsia" w:eastAsiaTheme="minorEastAsia"/>
                <w:vertAlign w:val="baseline"/>
                <w:lang w:eastAsia="zh-CN"/>
              </w:rPr>
            </w:pPr>
            <w:r>
              <w:rPr>
                <w:rFonts w:hint="eastAsia"/>
                <w:vertAlign w:val="baseline"/>
                <w:lang w:eastAsia="zh-CN"/>
              </w:rPr>
              <w:t>罐装肠内营养液，可口服或连接鼻胃管管饲。严禁静脉使用。</w:t>
            </w:r>
          </w:p>
        </w:tc>
        <w:tc>
          <w:tcPr>
            <w:tcW w:w="3764" w:type="dxa"/>
            <w:vAlign w:val="center"/>
          </w:tcPr>
          <w:p>
            <w:pPr>
              <w:jc w:val="center"/>
              <w:rPr>
                <w:rFonts w:hint="default" w:eastAsiaTheme="minorEastAsia"/>
                <w:vertAlign w:val="baseline"/>
                <w:lang w:val="en-US" w:eastAsia="zh-CN"/>
              </w:rPr>
            </w:pPr>
            <w:r>
              <w:rPr>
                <w:rFonts w:hint="eastAsia"/>
                <w:vertAlign w:val="baseline"/>
                <w:lang w:val="en-US" w:eastAsia="zh-CN"/>
              </w:rPr>
              <w:t>PET/NY/PE复合膜材料，符合GB9685-2016《食品安全国家标准食品接触材料及制品用添加剂使用标准》，可水浴或微波加热，加热温度不超过60摄氏度，微波加热不宜时间过长。一次性使用。采购现场需带样品。</w:t>
            </w:r>
          </w:p>
        </w:tc>
        <w:tc>
          <w:tcPr>
            <w:tcW w:w="818" w:type="dxa"/>
            <w:vAlign w:val="center"/>
          </w:tcPr>
          <w:p>
            <w:pPr>
              <w:jc w:val="center"/>
              <w:rPr>
                <w:rFonts w:hint="eastAsia" w:eastAsiaTheme="minorEastAsia"/>
                <w:vertAlign w:val="baseline"/>
                <w:lang w:val="en-US" w:eastAsia="zh-CN"/>
              </w:rPr>
            </w:pPr>
            <w:r>
              <w:rPr>
                <w:rFonts w:hint="eastAsia"/>
                <w:vertAlign w:val="baseline"/>
                <w:lang w:val="en-US" w:eastAsia="zh-CN"/>
              </w:rPr>
              <w:t>500ml</w:t>
            </w:r>
          </w:p>
        </w:tc>
        <w:tc>
          <w:tcPr>
            <w:tcW w:w="1167" w:type="dxa"/>
            <w:vAlign w:val="center"/>
          </w:tcPr>
          <w:p>
            <w:pPr>
              <w:jc w:val="center"/>
              <w:rPr>
                <w:rFonts w:hint="eastAsia" w:eastAsiaTheme="minorEastAsia"/>
                <w:vertAlign w:val="baseline"/>
                <w:lang w:val="en-US" w:eastAsia="zh-CN"/>
              </w:rPr>
            </w:pPr>
            <w:r>
              <w:rPr>
                <w:rFonts w:hint="eastAsia"/>
                <w:vertAlign w:val="baseline"/>
                <w:lang w:val="en-US" w:eastAsia="zh-CN"/>
              </w:rPr>
              <w:t>2.0/个</w:t>
            </w:r>
          </w:p>
        </w:tc>
      </w:tr>
    </w:tbl>
    <w:p>
      <w:pPr>
        <w:pStyle w:val="2"/>
        <w:rPr>
          <w:rFonts w:hint="default" w:ascii="宋体" w:hAnsi="宋体" w:eastAsia="宋体" w:cstheme="minorBidi"/>
          <w:b/>
          <w:kern w:val="2"/>
          <w:sz w:val="28"/>
          <w:szCs w:val="28"/>
          <w:lang w:val="en-US" w:eastAsia="zh-CN" w:bidi="ar-SA"/>
        </w:rPr>
      </w:pPr>
      <w:r>
        <w:rPr>
          <w:rFonts w:hint="eastAsia" w:ascii="宋体" w:hAnsi="宋体" w:eastAsia="宋体" w:cs="宋体"/>
          <w:i w:val="0"/>
          <w:iCs w:val="0"/>
          <w:color w:val="auto"/>
          <w:kern w:val="0"/>
          <w:sz w:val="28"/>
          <w:szCs w:val="28"/>
          <w:u w:val="none"/>
          <w:lang w:val="en-US" w:eastAsia="zh-CN" w:bidi="ar"/>
        </w:rPr>
        <w:t>注：</w:t>
      </w:r>
      <w:bookmarkStart w:id="3" w:name="_GoBack"/>
      <w:bookmarkEnd w:id="3"/>
      <w:r>
        <w:rPr>
          <w:rFonts w:hint="eastAsia" w:ascii="宋体" w:hAnsi="宋体" w:eastAsia="宋体" w:cs="宋体"/>
          <w:i w:val="0"/>
          <w:iCs w:val="0"/>
          <w:color w:val="auto"/>
          <w:kern w:val="0"/>
          <w:sz w:val="28"/>
          <w:szCs w:val="28"/>
          <w:u w:val="none"/>
          <w:lang w:val="en-US" w:eastAsia="zh-CN" w:bidi="ar"/>
        </w:rPr>
        <w:t>年用量约11000个，服务期2年。</w:t>
      </w:r>
    </w:p>
    <w:p>
      <w:pPr>
        <w:rPr>
          <w:rFonts w:ascii="宋体" w:hAnsi="宋体" w:eastAsia="宋体"/>
          <w:sz w:val="24"/>
          <w:szCs w:val="24"/>
        </w:rPr>
      </w:pP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7"/>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7"/>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lang w:val="en-US" w:eastAsia="zh-CN"/>
        </w:rPr>
      </w:pPr>
      <w:r>
        <w:rPr>
          <w:rFonts w:hint="eastAsia" w:ascii="黑体" w:hAnsi="宋体" w:eastAsia="黑体"/>
          <w:sz w:val="48"/>
          <w:szCs w:val="52"/>
          <w:lang w:val="en-US" w:eastAsia="zh-CN"/>
        </w:rPr>
        <w:t>威海市立医院</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lang w:val="en-US" w:eastAsia="zh-CN"/>
        </w:rPr>
      </w:pPr>
      <w:r>
        <w:rPr>
          <w:rFonts w:hint="eastAsia" w:ascii="黑体" w:hAnsi="宋体" w:eastAsia="黑体"/>
          <w:sz w:val="48"/>
          <w:szCs w:val="52"/>
          <w:lang w:val="en-US" w:eastAsia="zh-CN"/>
        </w:rPr>
        <w:t>肠内营养制剂专用袋</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编号（202506-4）</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10"/>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95"/>
        <w:gridCol w:w="1091"/>
        <w:gridCol w:w="3449"/>
        <w:gridCol w:w="756"/>
        <w:gridCol w:w="922"/>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9" w:hRule="atLeast"/>
        </w:trPr>
        <w:tc>
          <w:tcPr>
            <w:tcW w:w="526" w:type="dxa"/>
            <w:vAlign w:val="center"/>
          </w:tcPr>
          <w:p>
            <w:pPr>
              <w:jc w:val="center"/>
              <w:rPr>
                <w:rFonts w:hint="eastAsia" w:eastAsiaTheme="minorEastAsia"/>
                <w:vertAlign w:val="baseline"/>
                <w:lang w:eastAsia="zh-CN"/>
              </w:rPr>
            </w:pPr>
            <w:r>
              <w:rPr>
                <w:rFonts w:hint="eastAsia"/>
                <w:vertAlign w:val="baseline"/>
                <w:lang w:eastAsia="zh-CN"/>
              </w:rPr>
              <w:t>序号</w:t>
            </w:r>
          </w:p>
        </w:tc>
        <w:tc>
          <w:tcPr>
            <w:tcW w:w="995" w:type="dxa"/>
            <w:vAlign w:val="center"/>
          </w:tcPr>
          <w:p>
            <w:pPr>
              <w:jc w:val="center"/>
              <w:rPr>
                <w:rFonts w:hint="eastAsia" w:eastAsiaTheme="minorEastAsia"/>
                <w:vertAlign w:val="baseline"/>
                <w:lang w:eastAsia="zh-CN"/>
              </w:rPr>
            </w:pPr>
            <w:r>
              <w:rPr>
                <w:rFonts w:hint="eastAsia"/>
                <w:vertAlign w:val="baseline"/>
                <w:lang w:eastAsia="zh-CN"/>
              </w:rPr>
              <w:t>通用名称</w:t>
            </w:r>
          </w:p>
        </w:tc>
        <w:tc>
          <w:tcPr>
            <w:tcW w:w="1091" w:type="dxa"/>
            <w:vAlign w:val="center"/>
          </w:tcPr>
          <w:p>
            <w:pPr>
              <w:jc w:val="center"/>
              <w:rPr>
                <w:rFonts w:hint="eastAsia" w:eastAsiaTheme="minorEastAsia"/>
                <w:vertAlign w:val="baseline"/>
                <w:lang w:eastAsia="zh-CN"/>
              </w:rPr>
            </w:pPr>
            <w:r>
              <w:rPr>
                <w:rFonts w:hint="eastAsia"/>
                <w:vertAlign w:val="baseline"/>
                <w:lang w:eastAsia="zh-CN"/>
              </w:rPr>
              <w:t>主要用途</w:t>
            </w:r>
          </w:p>
        </w:tc>
        <w:tc>
          <w:tcPr>
            <w:tcW w:w="3449" w:type="dxa"/>
            <w:vAlign w:val="center"/>
          </w:tcPr>
          <w:p>
            <w:pPr>
              <w:jc w:val="center"/>
              <w:rPr>
                <w:rFonts w:hint="eastAsia" w:eastAsiaTheme="minorEastAsia"/>
                <w:vertAlign w:val="baseline"/>
                <w:lang w:eastAsia="zh-CN"/>
              </w:rPr>
            </w:pPr>
            <w:r>
              <w:rPr>
                <w:rFonts w:hint="eastAsia"/>
                <w:vertAlign w:val="baseline"/>
                <w:lang w:eastAsia="zh-CN"/>
              </w:rPr>
              <w:t>技术指标</w:t>
            </w:r>
          </w:p>
        </w:tc>
        <w:tc>
          <w:tcPr>
            <w:tcW w:w="756" w:type="dxa"/>
            <w:vAlign w:val="center"/>
          </w:tcPr>
          <w:p>
            <w:pPr>
              <w:jc w:val="center"/>
              <w:rPr>
                <w:rFonts w:hint="eastAsia" w:eastAsiaTheme="minorEastAsia"/>
                <w:vertAlign w:val="baseline"/>
                <w:lang w:eastAsia="zh-CN"/>
              </w:rPr>
            </w:pPr>
            <w:r>
              <w:rPr>
                <w:rFonts w:hint="eastAsia"/>
                <w:vertAlign w:val="baseline"/>
                <w:lang w:eastAsia="zh-CN"/>
              </w:rPr>
              <w:t>规格</w:t>
            </w:r>
          </w:p>
        </w:tc>
        <w:tc>
          <w:tcPr>
            <w:tcW w:w="922" w:type="dxa"/>
            <w:vAlign w:val="center"/>
          </w:tcPr>
          <w:p>
            <w:pPr>
              <w:jc w:val="center"/>
              <w:rPr>
                <w:rFonts w:hint="default"/>
                <w:vertAlign w:val="baseline"/>
                <w:lang w:val="en-US" w:eastAsia="zh-CN"/>
              </w:rPr>
            </w:pPr>
            <w:r>
              <w:rPr>
                <w:rFonts w:hint="eastAsia"/>
                <w:vertAlign w:val="baseline"/>
                <w:lang w:val="en-US" w:eastAsia="zh-CN"/>
              </w:rPr>
              <w:t>单位</w:t>
            </w:r>
          </w:p>
        </w:tc>
        <w:tc>
          <w:tcPr>
            <w:tcW w:w="1064" w:type="dxa"/>
            <w:vAlign w:val="center"/>
          </w:tcPr>
          <w:p>
            <w:pPr>
              <w:jc w:val="center"/>
              <w:rPr>
                <w:vertAlign w:val="baseline"/>
              </w:rPr>
            </w:pPr>
            <w:r>
              <w:rPr>
                <w:rFonts w:hint="eastAsia"/>
                <w:vertAlign w:val="baseline"/>
                <w:lang w:val="en-US" w:eastAsia="zh-CN"/>
              </w:rPr>
              <w:t>单</w:t>
            </w:r>
            <w:r>
              <w:rPr>
                <w:rFonts w:hint="eastAsia"/>
                <w:vertAlign w:val="baseline"/>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526"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995" w:type="dxa"/>
            <w:vAlign w:val="center"/>
          </w:tcPr>
          <w:p>
            <w:pPr>
              <w:jc w:val="center"/>
              <w:rPr>
                <w:rFonts w:hint="eastAsia" w:eastAsiaTheme="minorEastAsia"/>
                <w:vertAlign w:val="baseline"/>
                <w:lang w:eastAsia="zh-CN"/>
              </w:rPr>
            </w:pPr>
            <w:r>
              <w:rPr>
                <w:rFonts w:hint="eastAsia"/>
                <w:vertAlign w:val="baseline"/>
                <w:lang w:eastAsia="zh-CN"/>
              </w:rPr>
              <w:t>肠内营养制剂专用袋</w:t>
            </w:r>
          </w:p>
        </w:tc>
        <w:tc>
          <w:tcPr>
            <w:tcW w:w="1091" w:type="dxa"/>
            <w:vAlign w:val="center"/>
          </w:tcPr>
          <w:p>
            <w:pPr>
              <w:jc w:val="center"/>
              <w:rPr>
                <w:rFonts w:hint="eastAsia" w:eastAsiaTheme="minorEastAsia"/>
                <w:vertAlign w:val="baseline"/>
                <w:lang w:eastAsia="zh-CN"/>
              </w:rPr>
            </w:pPr>
            <w:r>
              <w:rPr>
                <w:rFonts w:hint="eastAsia"/>
                <w:vertAlign w:val="baseline"/>
                <w:lang w:eastAsia="zh-CN"/>
              </w:rPr>
              <w:t>罐装肠内营养液，可口服或连接鼻胃管管饲。严禁静脉使用。</w:t>
            </w:r>
          </w:p>
        </w:tc>
        <w:tc>
          <w:tcPr>
            <w:tcW w:w="3449" w:type="dxa"/>
            <w:vAlign w:val="center"/>
          </w:tcPr>
          <w:p>
            <w:pPr>
              <w:jc w:val="center"/>
              <w:rPr>
                <w:rFonts w:hint="eastAsia" w:eastAsiaTheme="minorEastAsia"/>
                <w:vertAlign w:val="baseline"/>
                <w:lang w:val="en-US" w:eastAsia="zh-CN"/>
              </w:rPr>
            </w:pPr>
            <w:r>
              <w:rPr>
                <w:rFonts w:hint="eastAsia"/>
                <w:vertAlign w:val="baseline"/>
                <w:lang w:val="en-US" w:eastAsia="zh-CN"/>
              </w:rPr>
              <w:t>PET/NY/PE复合膜材料，符合GB9685-2016《食品安全国家标准食品接触材料及制品用添加剂使用标准》，可水浴或微波加热，加热温度不超过60摄氏度，微波加热不宜时间过长。一次性使用。</w:t>
            </w:r>
          </w:p>
        </w:tc>
        <w:tc>
          <w:tcPr>
            <w:tcW w:w="756" w:type="dxa"/>
            <w:vAlign w:val="center"/>
          </w:tcPr>
          <w:p>
            <w:pPr>
              <w:jc w:val="center"/>
              <w:rPr>
                <w:rFonts w:hint="eastAsia" w:eastAsiaTheme="minorEastAsia"/>
                <w:vertAlign w:val="baseline"/>
                <w:lang w:val="en-US" w:eastAsia="zh-CN"/>
              </w:rPr>
            </w:pPr>
            <w:r>
              <w:rPr>
                <w:rFonts w:hint="eastAsia"/>
                <w:vertAlign w:val="baseline"/>
                <w:lang w:val="en-US" w:eastAsia="zh-CN"/>
              </w:rPr>
              <w:t>500ml</w:t>
            </w:r>
          </w:p>
        </w:tc>
        <w:tc>
          <w:tcPr>
            <w:tcW w:w="922" w:type="dxa"/>
            <w:vAlign w:val="center"/>
          </w:tcPr>
          <w:p>
            <w:pPr>
              <w:jc w:val="center"/>
              <w:rPr>
                <w:rFonts w:hint="default"/>
                <w:vertAlign w:val="baseline"/>
                <w:lang w:val="en-US" w:eastAsia="zh-CN"/>
              </w:rPr>
            </w:pPr>
            <w:r>
              <w:rPr>
                <w:rFonts w:hint="eastAsia"/>
                <w:vertAlign w:val="baseline"/>
                <w:lang w:val="en-US" w:eastAsia="zh-CN"/>
              </w:rPr>
              <w:t>个</w:t>
            </w:r>
          </w:p>
        </w:tc>
        <w:tc>
          <w:tcPr>
            <w:tcW w:w="1064" w:type="dxa"/>
            <w:vAlign w:val="center"/>
          </w:tcPr>
          <w:p>
            <w:pPr>
              <w:jc w:val="center"/>
              <w:rPr>
                <w:rFonts w:hint="eastAsia" w:eastAsiaTheme="minorEastAsia"/>
                <w:vertAlign w:val="baseline"/>
                <w:lang w:val="en-US" w:eastAsia="zh-CN"/>
              </w:rPr>
            </w:pPr>
          </w:p>
        </w:tc>
      </w:tr>
    </w:tbl>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9"/>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eastAsia="zh-CN"/>
              </w:rPr>
              <w:t>肠内营养制剂专用袋</w:t>
            </w:r>
            <w:r>
              <w:rPr>
                <w:rFonts w:hint="eastAsia" w:ascii="Calibri" w:hAnsi="Calibri" w:eastAsia="宋体" w:cs="Times New Roman"/>
                <w:sz w:val="24"/>
                <w:szCs w:val="24"/>
                <w:lang w:val="en-US" w:eastAsia="zh-CN"/>
              </w:rPr>
              <w:t>项</w:t>
            </w:r>
            <w:r>
              <w:rPr>
                <w:rFonts w:hint="eastAsia" w:asciiTheme="majorEastAsia" w:hAnsiTheme="majorEastAsia" w:eastAsiaTheme="majorEastAsia" w:cstheme="majorEastAsia"/>
                <w:b w:val="0"/>
                <w:bCs w:val="0"/>
                <w:sz w:val="28"/>
                <w:szCs w:val="28"/>
                <w:lang w:val="en-US" w:eastAsia="zh-CN"/>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default" w:ascii="Calibri" w:hAnsi="Calibri" w:eastAsia="宋体" w:cs="Times New Roman"/>
                <w:sz w:val="24"/>
                <w:szCs w:val="24"/>
                <w:lang w:val="en-US"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营业执照</w:t>
            </w:r>
            <w:r>
              <w:rPr>
                <w:rFonts w:hint="eastAsia" w:ascii="Calibri" w:hAnsi="Calibri" w:eastAsia="宋体" w:cs="Times New Roman"/>
                <w:sz w:val="24"/>
                <w:szCs w:val="24"/>
                <w:lang w:val="en-US" w:eastAsia="zh-CN"/>
              </w:rPr>
              <w:t>等</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宋体" w:hAnsi="宋体" w:eastAsia="宋体" w:cs="宋体"/>
                <w:sz w:val="24"/>
                <w:szCs w:val="24"/>
                <w:lang w:eastAsia="zh-CN"/>
              </w:rPr>
              <w:t>④</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7"/>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7"/>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7"/>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p>
            <w:pPr>
              <w:pStyle w:val="17"/>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7"/>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7"/>
              <w:adjustRightInd w:val="0"/>
              <w:spacing w:line="360" w:lineRule="exact"/>
              <w:ind w:firstLine="560"/>
              <w:contextualSpacing/>
              <w:rPr>
                <w:rFonts w:ascii="方正仿宋_GBK" w:eastAsia="方正仿宋_GBK"/>
                <w:sz w:val="28"/>
              </w:rPr>
            </w:pPr>
          </w:p>
          <w:p>
            <w:pPr>
              <w:pStyle w:val="17"/>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7"/>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7"/>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7"/>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rPr>
          <w:rFonts w:ascii="宋体" w:hAnsi="宋体" w:eastAsia="宋体"/>
          <w:bCs/>
          <w:szCs w:val="21"/>
        </w:rPr>
      </w:pPr>
    </w:p>
    <w:p>
      <w:pPr>
        <w:pStyle w:val="17"/>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7"/>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7"/>
        <w:adjustRightInd w:val="0"/>
        <w:spacing w:before="160" w:after="160"/>
        <w:ind w:firstLine="0" w:firstLineChars="0"/>
        <w:contextualSpacing/>
        <w:jc w:val="left"/>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附件6：评分表</w:t>
      </w:r>
    </w:p>
    <w:p>
      <w:pPr>
        <w:widowControl/>
        <w:adjustRightInd w:val="0"/>
        <w:spacing w:before="160" w:after="160"/>
        <w:contextualSpacing/>
        <w:jc w:val="left"/>
        <w:rPr>
          <w:rFonts w:ascii="宋体" w:hAnsi="宋体" w:eastAsia="宋体"/>
          <w:bCs/>
          <w:szCs w:val="21"/>
        </w:rPr>
      </w:pPr>
    </w:p>
    <w:tbl>
      <w:tblPr>
        <w:tblStyle w:val="9"/>
        <w:tblW w:w="8437"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bookmarkStart w:id="2" w:name="OLE_LINK1" w:colFirst="3" w:colLast="6"/>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358"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358" w:type="dxa"/>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358"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079" w:type="dxa"/>
            <w:gridSpan w:val="3"/>
            <w:tcBorders>
              <w:top w:val="single" w:color="auto" w:sz="4" w:space="0"/>
            </w:tcBorders>
            <w:noWrap w:val="0"/>
            <w:vAlign w:val="center"/>
          </w:tcPr>
          <w:p>
            <w:pPr>
              <w:spacing w:line="28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tc>
        <w:tc>
          <w:tcPr>
            <w:tcW w:w="6358" w:type="dxa"/>
            <w:noWrap w:val="0"/>
            <w:vAlign w:val="center"/>
          </w:tcPr>
          <w:p>
            <w:pPr>
              <w:spacing w:line="280" w:lineRule="exact"/>
              <w:rPr>
                <w:rFonts w:hint="eastAsia" w:ascii="宋体" w:hAnsi="宋体" w:cs="仿宋_GB2312"/>
                <w:szCs w:val="21"/>
              </w:rPr>
            </w:pPr>
          </w:p>
        </w:tc>
      </w:tr>
    </w:tbl>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0E9947-3CA3-4D4E-A2C3-11752225F9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72F3E6-3E5B-47A0-8C24-368F7F63E1DC}"/>
  </w:font>
  <w:font w:name="方正仿宋_GBK">
    <w:panose1 w:val="03000509000000000000"/>
    <w:charset w:val="86"/>
    <w:family w:val="script"/>
    <w:pitch w:val="default"/>
    <w:sig w:usb0="00000001" w:usb1="080E0000" w:usb2="00000000" w:usb3="00000000" w:csb0="00040000" w:csb1="00000000"/>
    <w:embedRegular r:id="rId3" w:fontKey="{DE03DE3B-7854-4DF8-8814-F2C7EBCD2C70}"/>
  </w:font>
  <w:font w:name="方正小标宋_GBK">
    <w:panose1 w:val="03000509000000000000"/>
    <w:charset w:val="86"/>
    <w:family w:val="script"/>
    <w:pitch w:val="default"/>
    <w:sig w:usb0="00000001" w:usb1="080E0000" w:usb2="00000000" w:usb3="00000000" w:csb0="00040000" w:csb1="00000000"/>
    <w:embedRegular r:id="rId4" w:fontKey="{5C7230BD-C045-4F30-8376-3CBDE2D268BA}"/>
  </w:font>
  <w:font w:name="仿宋_GB2312">
    <w:panose1 w:val="02010609030101010101"/>
    <w:charset w:val="86"/>
    <w:family w:val="modern"/>
    <w:pitch w:val="default"/>
    <w:sig w:usb0="00000001" w:usb1="080E0000" w:usb2="00000000" w:usb3="00000000" w:csb0="00040000" w:csb1="00000000"/>
    <w:embedRegular r:id="rId5" w:fontKey="{55497D9C-2642-4995-8C62-ADBDAC5054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5271CE3"/>
    <w:rsid w:val="06EC78A0"/>
    <w:rsid w:val="0B385885"/>
    <w:rsid w:val="0F97167D"/>
    <w:rsid w:val="0FC16EF7"/>
    <w:rsid w:val="137F534D"/>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D216A3C"/>
    <w:rsid w:val="2E8E6608"/>
    <w:rsid w:val="31B006DA"/>
    <w:rsid w:val="33E617BD"/>
    <w:rsid w:val="34FC59D1"/>
    <w:rsid w:val="36125141"/>
    <w:rsid w:val="366D5496"/>
    <w:rsid w:val="3CF44D14"/>
    <w:rsid w:val="3E7C6B56"/>
    <w:rsid w:val="40966984"/>
    <w:rsid w:val="43063938"/>
    <w:rsid w:val="45E37C15"/>
    <w:rsid w:val="47CB3ECE"/>
    <w:rsid w:val="48161295"/>
    <w:rsid w:val="48876C28"/>
    <w:rsid w:val="49687BBC"/>
    <w:rsid w:val="4BAD7DD3"/>
    <w:rsid w:val="4D411BCB"/>
    <w:rsid w:val="518065BB"/>
    <w:rsid w:val="532C00AA"/>
    <w:rsid w:val="534D6638"/>
    <w:rsid w:val="54ED5DAB"/>
    <w:rsid w:val="55FE7053"/>
    <w:rsid w:val="61DE16F5"/>
    <w:rsid w:val="62AB3F85"/>
    <w:rsid w:val="65D26704"/>
    <w:rsid w:val="698D1AEB"/>
    <w:rsid w:val="6BA84C7A"/>
    <w:rsid w:val="6FAF18A1"/>
    <w:rsid w:val="7048218F"/>
    <w:rsid w:val="70C15D8C"/>
    <w:rsid w:val="73C06E35"/>
    <w:rsid w:val="74F94E64"/>
    <w:rsid w:val="759624FB"/>
    <w:rsid w:val="75DE6045"/>
    <w:rsid w:val="77724C80"/>
    <w:rsid w:val="78612E89"/>
    <w:rsid w:val="78DB4966"/>
    <w:rsid w:val="7A083343"/>
    <w:rsid w:val="7A0A71CB"/>
    <w:rsid w:val="7B4C1F62"/>
    <w:rsid w:val="7B9D6F7B"/>
    <w:rsid w:val="7CA73254"/>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Emphasis"/>
    <w:basedOn w:val="11"/>
    <w:qFormat/>
    <w:uiPriority w:val="20"/>
    <w:rPr>
      <w:i/>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1"/>
    <w:unhideWhenUsed/>
    <w:qFormat/>
    <w:uiPriority w:val="99"/>
    <w:rPr>
      <w:color w:val="808080"/>
      <w:shd w:val="clear" w:color="auto" w:fill="E6E6E6"/>
    </w:rPr>
  </w:style>
  <w:style w:type="character" w:customStyle="1" w:styleId="19">
    <w:name w:val="apple-converted-space"/>
    <w:basedOn w:val="11"/>
    <w:qFormat/>
    <w:uiPriority w:val="0"/>
  </w:style>
  <w:style w:type="character" w:customStyle="1" w:styleId="20">
    <w:name w:val="未处理的提及2"/>
    <w:basedOn w:val="11"/>
    <w:semiHidden/>
    <w:unhideWhenUsed/>
    <w:qFormat/>
    <w:uiPriority w:val="99"/>
    <w:rPr>
      <w:color w:val="808080"/>
      <w:shd w:val="clear" w:color="auto" w:fill="E6E6E6"/>
    </w:rPr>
  </w:style>
  <w:style w:type="character" w:customStyle="1" w:styleId="21">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0</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2025-06-26T02:53:28Z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