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adjustRightInd w:val="0"/>
        <w:spacing w:before="160" w:after="160"/>
        <w:ind w:firstLine="0" w:firstLineChars="0"/>
        <w:contextualSpacing/>
        <w:jc w:val="center"/>
        <w:rPr>
          <w:rFonts w:hint="eastAsia" w:ascii="宋体" w:hAnsi="宋体" w:eastAsia="宋体"/>
          <w:b/>
          <w:sz w:val="36"/>
          <w:szCs w:val="21"/>
          <w:lang w:val="en-US" w:eastAsia="zh-CN"/>
        </w:rPr>
      </w:pPr>
      <w:r>
        <w:rPr>
          <w:rFonts w:hint="eastAsia" w:ascii="宋体" w:hAnsi="宋体" w:eastAsia="宋体"/>
          <w:b/>
          <w:sz w:val="36"/>
          <w:szCs w:val="21"/>
          <w:lang w:val="en-US" w:eastAsia="zh-CN"/>
        </w:rPr>
        <w:t>威海市立</w:t>
      </w:r>
      <w:r>
        <w:rPr>
          <w:rFonts w:hint="eastAsia" w:ascii="宋体" w:hAnsi="宋体" w:eastAsia="宋体"/>
          <w:b/>
          <w:sz w:val="36"/>
          <w:szCs w:val="21"/>
        </w:rPr>
        <w:t>医院</w:t>
      </w:r>
      <w:r>
        <w:rPr>
          <w:rFonts w:hint="eastAsia" w:ascii="宋体" w:hAnsi="宋体" w:eastAsia="宋体"/>
          <w:b/>
          <w:sz w:val="36"/>
          <w:szCs w:val="21"/>
          <w:lang w:val="en-US" w:eastAsia="zh-CN"/>
        </w:rPr>
        <w:t>选定和平路院区手术室改造2台DSA的环保竣工验收供应商项目（202505-2）院内比选/调研</w:t>
      </w:r>
      <w:r>
        <w:rPr>
          <w:rFonts w:hint="default" w:ascii="宋体" w:hAnsi="宋体" w:eastAsia="宋体"/>
          <w:b/>
          <w:sz w:val="36"/>
          <w:szCs w:val="21"/>
          <w:lang w:val="en-US" w:eastAsia="zh-CN"/>
        </w:rPr>
        <w:t>材料目录</w:t>
      </w: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欢迎生产企业、经营企业以及潜在供应商前来我院相关科室介绍产品，同时提交产品资料。有意向者必须提供符合我院要求的报名材料（</w:t>
      </w:r>
      <w:r>
        <w:rPr>
          <w:rFonts w:hint="eastAsia" w:ascii="宋体" w:hAnsi="宋体" w:eastAsia="宋体"/>
          <w:b/>
          <w:color w:val="FF0000"/>
          <w:sz w:val="24"/>
          <w:szCs w:val="24"/>
        </w:rPr>
        <w:t>纸质文件一份，</w:t>
      </w:r>
      <w:r>
        <w:rPr>
          <w:rFonts w:hint="eastAsia" w:ascii="宋体" w:hAnsi="宋体" w:eastAsia="宋体"/>
          <w:b/>
          <w:color w:val="FF0000"/>
          <w:sz w:val="24"/>
          <w:szCs w:val="24"/>
          <w:lang w:val="en-US" w:eastAsia="zh-CN"/>
        </w:rPr>
        <w:t>纸质文件的</w:t>
      </w:r>
      <w:r>
        <w:rPr>
          <w:rFonts w:hint="eastAsia" w:ascii="宋体" w:hAnsi="宋体" w:eastAsia="宋体"/>
          <w:b/>
          <w:color w:val="FF0000"/>
          <w:sz w:val="24"/>
          <w:szCs w:val="24"/>
        </w:rPr>
        <w:t>电子</w:t>
      </w:r>
      <w:r>
        <w:rPr>
          <w:rFonts w:hint="eastAsia" w:ascii="宋体" w:hAnsi="宋体" w:eastAsia="宋体"/>
          <w:b/>
          <w:color w:val="FF0000"/>
          <w:sz w:val="24"/>
          <w:szCs w:val="24"/>
          <w:lang w:val="en-US" w:eastAsia="zh-CN"/>
        </w:rPr>
        <w:t>版扫描件</w:t>
      </w:r>
      <w:r>
        <w:rPr>
          <w:rFonts w:hint="eastAsia" w:ascii="宋体" w:hAnsi="宋体" w:eastAsia="宋体"/>
          <w:b/>
          <w:color w:val="FF0000"/>
          <w:sz w:val="24"/>
          <w:szCs w:val="24"/>
        </w:rPr>
        <w:t>文件一份</w:t>
      </w:r>
      <w:r>
        <w:rPr>
          <w:rFonts w:hint="eastAsia" w:ascii="宋体" w:hAnsi="宋体" w:eastAsia="宋体"/>
          <w:b/>
          <w:color w:val="FF0000"/>
          <w:sz w:val="24"/>
          <w:szCs w:val="24"/>
          <w:lang w:eastAsia="zh-CN"/>
        </w:rPr>
        <w:t>，</w:t>
      </w:r>
      <w:r>
        <w:rPr>
          <w:rFonts w:hint="eastAsia" w:ascii="宋体" w:hAnsi="宋体" w:eastAsia="宋体"/>
          <w:b/>
          <w:color w:val="FF0000"/>
          <w:sz w:val="24"/>
          <w:szCs w:val="24"/>
          <w:lang w:val="en-US" w:eastAsia="zh-CN"/>
        </w:rPr>
        <w:t>电子文件报名时发邮箱whslyyzbb5208592@163.com</w:t>
      </w:r>
      <w:r>
        <w:rPr>
          <w:rFonts w:hint="eastAsia" w:ascii="宋体" w:hAnsi="宋体" w:eastAsia="宋体"/>
          <w:sz w:val="24"/>
          <w:szCs w:val="24"/>
        </w:rPr>
        <w:t>），并</w:t>
      </w:r>
      <w:r>
        <w:rPr>
          <w:rFonts w:hint="eastAsia" w:ascii="宋体" w:hAnsi="宋体" w:eastAsia="宋体"/>
          <w:b/>
          <w:color w:val="FF0000"/>
          <w:sz w:val="24"/>
          <w:szCs w:val="24"/>
        </w:rPr>
        <w:t>保证所提供的各种材料真实、有效、齐全，承担相应的法律责任。请按下列顺序装订</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numPr>
          <w:ilvl w:val="0"/>
          <w:numId w:val="2"/>
        </w:numPr>
        <w:adjustRightInd w:val="0"/>
        <w:spacing w:before="160" w:after="160"/>
        <w:ind w:firstLine="482" w:firstLineChars="200"/>
        <w:contextualSpacing/>
        <w:rPr>
          <w:rFonts w:hint="eastAsia" w:ascii="宋体" w:hAnsi="宋体" w:eastAsia="宋体"/>
          <w:b/>
          <w:bCs w:val="0"/>
          <w:color w:val="auto"/>
          <w:sz w:val="24"/>
          <w:szCs w:val="24"/>
          <w:lang w:val="en-US" w:eastAsia="zh-CN"/>
        </w:rPr>
      </w:pPr>
      <w:r>
        <w:rPr>
          <w:rFonts w:hint="eastAsia" w:ascii="宋体" w:hAnsi="宋体" w:eastAsia="宋体"/>
          <w:b/>
          <w:bCs w:val="0"/>
          <w:color w:val="auto"/>
          <w:sz w:val="24"/>
          <w:szCs w:val="24"/>
          <w:lang w:val="en-US" w:eastAsia="zh-CN"/>
        </w:rPr>
        <w:t>纸质版材料装订顺序</w:t>
      </w:r>
    </w:p>
    <w:p>
      <w:pPr>
        <w:pStyle w:val="16"/>
        <w:numPr>
          <w:ilvl w:val="0"/>
          <w:numId w:val="3"/>
        </w:numPr>
        <w:ind w:leftChars="0" w:firstLine="480" w:firstLineChars="200"/>
        <w:rPr>
          <w:rFonts w:hint="eastAsia"/>
          <w:sz w:val="24"/>
          <w:szCs w:val="24"/>
          <w:lang w:val="en-US" w:eastAsia="zh-CN"/>
        </w:rPr>
      </w:pPr>
      <w:r>
        <w:rPr>
          <w:rFonts w:hint="eastAsia"/>
          <w:sz w:val="24"/>
          <w:szCs w:val="24"/>
        </w:rPr>
        <w:t>封面：</w:t>
      </w:r>
      <w:r>
        <w:rPr>
          <w:rFonts w:hint="eastAsia"/>
          <w:sz w:val="24"/>
          <w:szCs w:val="24"/>
          <w:lang w:val="en-US" w:eastAsia="zh-CN"/>
        </w:rPr>
        <w:t>详见附件1。</w:t>
      </w:r>
    </w:p>
    <w:p>
      <w:pPr>
        <w:pStyle w:val="16"/>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2、报价表及报价明细表：详见</w:t>
      </w:r>
      <w:r>
        <w:rPr>
          <w:rFonts w:hint="eastAsia" w:ascii="宋体" w:hAnsi="宋体" w:eastAsia="宋体" w:cstheme="minorBidi"/>
          <w:b/>
          <w:bCs w:val="0"/>
          <w:color w:val="auto"/>
          <w:kern w:val="2"/>
          <w:sz w:val="24"/>
          <w:szCs w:val="24"/>
          <w:lang w:val="en-US" w:eastAsia="zh-CN" w:bidi="ar-SA"/>
        </w:rPr>
        <w:t>附件2。</w:t>
      </w:r>
    </w:p>
    <w:p>
      <w:pPr>
        <w:pStyle w:val="16"/>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3、调研比选项目报名表：详见</w:t>
      </w:r>
      <w:r>
        <w:rPr>
          <w:rFonts w:hint="eastAsia" w:ascii="宋体" w:hAnsi="宋体" w:eastAsia="宋体" w:cstheme="minorBidi"/>
          <w:b/>
          <w:bCs w:val="0"/>
          <w:color w:val="auto"/>
          <w:kern w:val="2"/>
          <w:sz w:val="24"/>
          <w:szCs w:val="24"/>
          <w:lang w:val="en-US" w:eastAsia="zh-CN" w:bidi="ar-SA"/>
        </w:rPr>
        <w:t>附件3。</w:t>
      </w:r>
    </w:p>
    <w:p>
      <w:pPr>
        <w:pStyle w:val="16"/>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4、企业信用承诺书（请填写</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宋体" w:hAnsi="宋体" w:eastAsia="宋体" w:cstheme="minorBidi"/>
          <w:b w:val="0"/>
          <w:bCs/>
          <w:color w:val="auto"/>
          <w:kern w:val="2"/>
          <w:sz w:val="24"/>
          <w:szCs w:val="24"/>
          <w:lang w:val="en-US" w:eastAsia="zh-CN" w:bidi="ar-SA"/>
        </w:rPr>
        <w:t>5、供应商名称、联系人姓名及联系方式、邮箱等信息。</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sz w:val="24"/>
          <w:szCs w:val="24"/>
          <w:lang w:val="en-US" w:eastAsia="zh-CN"/>
        </w:rPr>
        <w:t>6、</w:t>
      </w:r>
      <w:r>
        <w:rPr>
          <w:rFonts w:hint="eastAsia" w:ascii="宋体" w:hAnsi="宋体" w:eastAsia="宋体" w:cstheme="minorBidi"/>
          <w:b w:val="0"/>
          <w:bCs/>
          <w:color w:val="auto"/>
          <w:kern w:val="2"/>
          <w:sz w:val="24"/>
          <w:szCs w:val="24"/>
          <w:lang w:val="en-US" w:eastAsia="zh-CN" w:bidi="ar-SA"/>
        </w:rPr>
        <w:t>供应商资质、法人给业务员的授权书，附法人和业务员的身份证复印件，以及业务员在投标公司所缴纳社保证明。</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8、其他医院合同复印件或相关发票(三级医院排在前面，合同需体现项目信息，发票建议提前查验，避免出现冲红发票等问题）。</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9、用户名单、采购时间。</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10、材料真实性及购销廉洁声明（见附件5）。</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11、评分表（见附件6）。</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12、产品参数：</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（1）验收工作必须符合《中华人民共和国环境保护法》、《中华人民共和国环境影响评价法》等国家有关法律、法规的规定。</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落实政府采购政策需满足的资格要求：未被中国政府采购网（www.ccgp.gov.cn）、信用中国（www.creditchina.gov.cn）、信用山东（www.creditsd.gov.cn）列入政府采购严重违法失信行为信息记录，以及未存在《中华人民共和国政府采购法实施条例》第十九条规定的行政处罚记录。</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（3）在环境影响评价信用平台上登记，并注册有至少2名环评工程师，且各信用周期内均无信用记分。</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（4）具备本次验收工作相关的专业技术人员及设备，不接受项目分包。</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（5）按照验收监测相关规范和技术要求编制环境保护验收监测方案、开展相关监测工作并编写环境保护验收监测（调查）报告。</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（6）监测数据要真实可靠，符合国家相关法律法规和卫生标准要求，确保放射工作人员和公众的健康与安全。</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（7）要确保环保及卫生等主管部门检查时达到国家相关标准要求。</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（8）评价过程中一切费用（专家评审费等）均包含在招标价格中。</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（9）验收机构负责按照环保部门的要求在规定时间内到生态环境部官网完成建设项目竣工环境保护验收信息平台公开验收报告。</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（10）环评公司需要完成该项目辐射证上证相关工作。</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（11）竣工环保验收：正式运行三月内，监测数据出来后10个工作日完成本项目竣工环保验收报告编制，同时负责完成相关的公示及国家平台填报工作。</w:t>
      </w:r>
    </w:p>
    <w:p>
      <w:pPr>
        <w:pStyle w:val="16"/>
        <w:numPr>
          <w:ilvl w:val="0"/>
          <w:numId w:val="0"/>
        </w:numPr>
        <w:ind w:leftChars="0" w:firstLine="562" w:firstLineChars="200"/>
        <w:rPr>
          <w:rFonts w:hint="eastAsia" w:ascii="宋体" w:hAnsi="宋体" w:eastAsia="宋体" w:cstheme="minorBidi"/>
          <w:b/>
          <w:kern w:val="2"/>
          <w:sz w:val="28"/>
          <w:szCs w:val="28"/>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备注：本项目说明中所提出的参数和标准仅系说明并非进行限制，供应商可提出替代的参数和标准，并在技术文件中详细说明，但该替代应不低于本文件的规定和要求（本报价包含产品费用、专家费、人工费、税费、所需材料费及检测费等所有费用）。</w:t>
      </w:r>
    </w:p>
    <w:p>
      <w:pPr>
        <w:rPr>
          <w:rFonts w:ascii="宋体" w:hAnsi="宋体" w:eastAsia="宋体"/>
          <w:sz w:val="24"/>
          <w:szCs w:val="24"/>
        </w:rPr>
      </w:pP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请将上述所有文件</w:t>
      </w:r>
      <w:r>
        <w:rPr>
          <w:rFonts w:hint="eastAsia" w:ascii="宋体" w:hAnsi="宋体" w:eastAsia="宋体"/>
          <w:b/>
          <w:bCs/>
          <w:color w:val="FF0000"/>
          <w:sz w:val="24"/>
          <w:szCs w:val="24"/>
        </w:rPr>
        <w:t>每页加盖报名公司公章</w:t>
      </w:r>
      <w:r>
        <w:rPr>
          <w:rFonts w:hint="eastAsia" w:ascii="宋体" w:hAnsi="宋体" w:eastAsia="宋体"/>
          <w:sz w:val="24"/>
          <w:szCs w:val="24"/>
        </w:rPr>
        <w:t>后，上传至</w:t>
      </w:r>
      <w:r>
        <w:rPr>
          <w:rFonts w:hint="eastAsia" w:ascii="宋体" w:hAnsi="宋体" w:eastAsia="宋体"/>
          <w:sz w:val="24"/>
          <w:szCs w:val="24"/>
          <w:lang w:val="en-US" w:eastAsia="zh-CN"/>
        </w:rPr>
        <w:t>指定邮箱。</w:t>
      </w:r>
      <w:r>
        <w:rPr>
          <w:rFonts w:hint="eastAsia" w:ascii="宋体" w:hAnsi="宋体" w:eastAsia="宋体"/>
          <w:sz w:val="24"/>
          <w:szCs w:val="24"/>
        </w:rPr>
        <w:t>一份纸质版材料</w:t>
      </w:r>
      <w:r>
        <w:rPr>
          <w:rFonts w:hint="eastAsia" w:ascii="宋体" w:hAnsi="宋体" w:eastAsia="宋体"/>
          <w:sz w:val="24"/>
          <w:szCs w:val="24"/>
          <w:lang w:eastAsia="zh-CN"/>
        </w:rPr>
        <w:t>，</w:t>
      </w:r>
      <w:r>
        <w:rPr>
          <w:rFonts w:hint="eastAsia" w:ascii="宋体" w:hAnsi="宋体" w:eastAsia="宋体"/>
          <w:sz w:val="24"/>
          <w:szCs w:val="24"/>
          <w:lang w:val="en-US" w:eastAsia="zh-CN"/>
        </w:rPr>
        <w:t>待采购会时</w:t>
      </w:r>
      <w:bookmarkStart w:id="0" w:name="_Hlk107847759"/>
      <w:r>
        <w:rPr>
          <w:rFonts w:hint="eastAsia" w:ascii="宋体" w:hAnsi="宋体" w:eastAsia="宋体"/>
          <w:sz w:val="24"/>
          <w:szCs w:val="24"/>
          <w:lang w:val="en-US" w:eastAsia="zh-CN"/>
        </w:rPr>
        <w:t>提交</w:t>
      </w:r>
      <w:r>
        <w:rPr>
          <w:rFonts w:hint="eastAsia" w:ascii="宋体" w:hAnsi="宋体" w:eastAsia="宋体"/>
          <w:sz w:val="24"/>
          <w:szCs w:val="24"/>
        </w:rPr>
        <w:t>。</w:t>
      </w:r>
      <w:bookmarkEnd w:id="0"/>
      <w:r>
        <w:rPr>
          <w:rFonts w:hint="eastAsia" w:ascii="宋体" w:hAnsi="宋体" w:eastAsia="宋体"/>
          <w:sz w:val="24"/>
          <w:szCs w:val="24"/>
          <w:lang w:val="en-US" w:eastAsia="zh-CN"/>
        </w:rPr>
        <w:t>请</w:t>
      </w:r>
      <w:r>
        <w:rPr>
          <w:rFonts w:hint="eastAsia" w:ascii="宋体" w:hAnsi="宋体" w:eastAsia="宋体"/>
          <w:sz w:val="24"/>
          <w:szCs w:val="24"/>
        </w:rPr>
        <w:t>严格按照本清单内容递交报名材料，否则视为自动弃权！</w:t>
      </w:r>
    </w:p>
    <w:p>
      <w:pPr>
        <w:ind w:firstLine="480" w:firstLineChars="200"/>
        <w:rPr>
          <w:rFonts w:ascii="宋体" w:hAnsi="宋体" w:eastAsia="宋体"/>
          <w:sz w:val="24"/>
          <w:szCs w:val="24"/>
        </w:rPr>
      </w:pPr>
      <w:r>
        <w:rPr>
          <w:rFonts w:hint="eastAsia" w:ascii="宋体" w:hAnsi="宋体" w:eastAsia="宋体"/>
          <w:sz w:val="24"/>
          <w:szCs w:val="24"/>
        </w:rPr>
        <w:t>递交材料经院方审核通过后，医院会发邮件通知正式商谈的具体时间地点，届时请带1份书面报价单（格式如下），要求密封，报价单和密封信封上加盖公司公章，现场递交。</w:t>
      </w:r>
    </w:p>
    <w:p>
      <w:pPr>
        <w:pStyle w:val="16"/>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pPr>
    </w:p>
    <w:p>
      <w:pPr>
        <w:pStyle w:val="16"/>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sectPr>
          <w:pgSz w:w="11906" w:h="16838"/>
          <w:pgMar w:top="1440" w:right="1416" w:bottom="1440" w:left="1560" w:header="851" w:footer="992" w:gutter="0"/>
          <w:cols w:space="425" w:num="1"/>
          <w:docGrid w:type="lines" w:linePitch="312" w:charSpace="0"/>
        </w:sectPr>
      </w:pPr>
    </w:p>
    <w:p>
      <w:pPr>
        <w:pStyle w:val="16"/>
        <w:adjustRightInd w:val="0"/>
        <w:spacing w:before="160" w:after="160"/>
        <w:ind w:firstLine="643"/>
        <w:contextualSpacing/>
        <w:rPr>
          <w:rFonts w:ascii="方正仿宋_GBK" w:eastAsia="方正仿宋_GBK"/>
          <w:b/>
          <w:sz w:val="32"/>
        </w:rPr>
      </w:pPr>
      <w:bookmarkStart w:id="1" w:name="_Hlk107847795"/>
      <w:r>
        <w:rPr>
          <w:rFonts w:ascii="方正仿宋_GBK" w:eastAsia="方正仿宋_GBK"/>
          <w:b/>
          <w:sz w:val="32"/>
        </w:rPr>
        <w:t>附件1：</w:t>
      </w:r>
    </w:p>
    <w:p>
      <w:pPr>
        <w:rPr>
          <w:rFonts w:hint="eastAsia" w:ascii="黑体" w:eastAsia="黑体"/>
          <w:sz w:val="32"/>
        </w:rPr>
      </w:pP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pStyle w:val="2"/>
        <w:jc w:val="center"/>
        <w:rPr>
          <w:rFonts w:hint="eastAsia"/>
          <w:lang w:val="en-US" w:eastAsia="zh-CN"/>
        </w:rPr>
      </w:pPr>
      <w:r>
        <w:rPr>
          <w:rFonts w:hint="eastAsia" w:ascii="宋体" w:hAnsi="宋体" w:eastAsia="宋体"/>
          <w:b/>
          <w:sz w:val="36"/>
          <w:szCs w:val="21"/>
          <w:lang w:val="en-US" w:eastAsia="zh-CN"/>
        </w:rPr>
        <w:t>选定和平路院区手术室改造2台DSA的环保竣工验收供应商项目</w:t>
      </w:r>
    </w:p>
    <w:p>
      <w:pPr>
        <w:spacing w:before="240" w:after="60"/>
        <w:jc w:val="center"/>
        <w:outlineLvl w:val="0"/>
        <w:rPr>
          <w:rFonts w:hint="eastAsia" w:asciiTheme="majorEastAsia" w:hAnsiTheme="majorEastAsia" w:eastAsiaTheme="majorEastAsia" w:cstheme="majorEastAsia"/>
          <w:b/>
          <w:bCs/>
          <w:sz w:val="44"/>
          <w:szCs w:val="44"/>
          <w:lang w:val="en-US" w:eastAsia="zh-CN"/>
        </w:rPr>
      </w:pPr>
      <w:r>
        <w:rPr>
          <w:rFonts w:hint="eastAsia" w:ascii="黑体" w:hAnsi="Cambria" w:eastAsia="黑体"/>
          <w:bCs/>
          <w:sz w:val="48"/>
          <w:szCs w:val="48"/>
          <w:lang w:val="en-US" w:eastAsia="zh-CN"/>
        </w:rPr>
        <w:t>编号</w:t>
      </w:r>
      <w:r>
        <w:rPr>
          <w:rFonts w:hint="eastAsia" w:asciiTheme="majorEastAsia" w:hAnsiTheme="majorEastAsia" w:eastAsiaTheme="majorEastAsia" w:cstheme="majorEastAsia"/>
          <w:b/>
          <w:bCs/>
          <w:sz w:val="44"/>
          <w:szCs w:val="44"/>
          <w:lang w:val="en-US" w:eastAsia="zh-CN"/>
        </w:rPr>
        <w:t>（202505-2）</w:t>
      </w: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pPr>
        <w:jc w:val="left"/>
        <w:rPr>
          <w:b/>
          <w:sz w:val="32"/>
          <w:szCs w:val="32"/>
        </w:rPr>
      </w:pPr>
      <w:r>
        <w:rPr>
          <w:rFonts w:hint="eastAsia"/>
          <w:b/>
          <w:sz w:val="32"/>
          <w:szCs w:val="32"/>
        </w:rPr>
        <w:t>附件</w:t>
      </w:r>
      <w:r>
        <w:rPr>
          <w:b/>
          <w:sz w:val="32"/>
          <w:szCs w:val="32"/>
        </w:rPr>
        <w:t>2</w:t>
      </w:r>
      <w:r>
        <w:rPr>
          <w:rFonts w:hint="eastAsia"/>
          <w:b/>
          <w:sz w:val="32"/>
          <w:szCs w:val="32"/>
        </w:rPr>
        <w:t>：</w:t>
      </w:r>
    </w:p>
    <w:p>
      <w:pPr>
        <w:jc w:val="center"/>
        <w:rPr>
          <w:b/>
          <w:sz w:val="32"/>
          <w:szCs w:val="32"/>
        </w:rPr>
      </w:pPr>
      <w:r>
        <w:rPr>
          <w:rFonts w:hint="eastAsia"/>
          <w:b/>
          <w:sz w:val="32"/>
          <w:szCs w:val="32"/>
        </w:rPr>
        <w:t>报价单</w:t>
      </w:r>
    </w:p>
    <w:tbl>
      <w:tblPr>
        <w:tblStyle w:val="9"/>
        <w:tblW w:w="7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2400"/>
        <w:gridCol w:w="3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72" w:type="dxa"/>
          </w:tcPr>
          <w:p>
            <w:pPr>
              <w:jc w:val="center"/>
              <w:rPr>
                <w:rFonts w:hint="default" w:eastAsia="宋体"/>
                <w:vertAlign w:val="baseline"/>
                <w:lang w:val="en-US" w:eastAsia="zh-CN"/>
              </w:rPr>
            </w:pPr>
            <w:r>
              <w:rPr>
                <w:rFonts w:hint="eastAsia"/>
                <w:vertAlign w:val="baseline"/>
                <w:lang w:val="en-US" w:eastAsia="zh-CN"/>
              </w:rPr>
              <w:t>项目</w:t>
            </w:r>
          </w:p>
        </w:tc>
        <w:tc>
          <w:tcPr>
            <w:tcW w:w="2400" w:type="dxa"/>
          </w:tcPr>
          <w:p>
            <w:pPr>
              <w:jc w:val="center"/>
              <w:rPr>
                <w:rFonts w:hint="eastAsia" w:eastAsia="宋体"/>
                <w:vertAlign w:val="baseline"/>
                <w:lang w:val="en-US" w:eastAsia="zh-CN"/>
              </w:rPr>
            </w:pPr>
            <w:r>
              <w:rPr>
                <w:rFonts w:hint="eastAsia"/>
                <w:vertAlign w:val="baseline"/>
                <w:lang w:val="en-US" w:eastAsia="zh-CN"/>
              </w:rPr>
              <w:t>报价</w:t>
            </w:r>
          </w:p>
        </w:tc>
        <w:tc>
          <w:tcPr>
            <w:tcW w:w="3354" w:type="dxa"/>
          </w:tcPr>
          <w:p>
            <w:pPr>
              <w:jc w:val="center"/>
              <w:rPr>
                <w:rFonts w:hint="default" w:eastAsia="宋体"/>
                <w:vertAlign w:val="baseline"/>
                <w:lang w:val="en-US" w:eastAsia="zh-CN"/>
              </w:rPr>
            </w:pPr>
            <w:r>
              <w:rPr>
                <w:rFonts w:hint="eastAsia" w:eastAsia="宋体"/>
                <w:vertAlign w:val="baseli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372" w:type="dxa"/>
          </w:tcPr>
          <w:p>
            <w:pPr>
              <w:jc w:val="center"/>
              <w:rPr>
                <w:rFonts w:hint="eastAsia" w:eastAsia="宋体"/>
                <w:vertAlign w:val="baseline"/>
                <w:lang w:val="en-US" w:eastAsia="zh-CN"/>
              </w:rPr>
            </w:pPr>
          </w:p>
        </w:tc>
        <w:tc>
          <w:tcPr>
            <w:tcW w:w="2400" w:type="dxa"/>
          </w:tcPr>
          <w:p>
            <w:pPr>
              <w:rPr>
                <w:rFonts w:hint="default" w:eastAsia="宋体"/>
                <w:vertAlign w:val="baseline"/>
                <w:lang w:val="en-US" w:eastAsia="zh-CN"/>
              </w:rPr>
            </w:pPr>
          </w:p>
        </w:tc>
        <w:tc>
          <w:tcPr>
            <w:tcW w:w="3354" w:type="dxa"/>
          </w:tcPr>
          <w:p>
            <w:pPr>
              <w:rPr>
                <w:rFonts w:hint="default" w:eastAsia="宋体"/>
                <w:vertAlign w:val="baseline"/>
                <w:lang w:val="en-US" w:eastAsia="zh-CN"/>
              </w:rPr>
            </w:pPr>
          </w:p>
        </w:tc>
      </w:tr>
    </w:tbl>
    <w:p/>
    <w:p>
      <w:pPr>
        <w:keepNext/>
        <w:keepLines/>
        <w:widowControl w:val="0"/>
        <w:spacing w:before="100" w:beforeAutospacing="1" w:after="100" w:afterAutospacing="1" w:line="240" w:lineRule="auto"/>
        <w:jc w:val="center"/>
        <w:outlineLvl w:val="0"/>
        <w:rPr>
          <w:rFonts w:hint="default" w:ascii="黑体" w:hAnsi="Calibri" w:eastAsia="黑体" w:cs="Times New Roman"/>
          <w:b/>
          <w:bCs/>
          <w:kern w:val="44"/>
          <w:sz w:val="36"/>
          <w:szCs w:val="44"/>
          <w:lang w:val="en-US" w:eastAsia="zh-CN" w:bidi="ar-SA"/>
        </w:rPr>
      </w:pPr>
    </w:p>
    <w:p>
      <w:pPr>
        <w:keepNext/>
        <w:keepLines/>
        <w:widowControl w:val="0"/>
        <w:spacing w:before="100" w:beforeAutospacing="1" w:after="100" w:afterAutospacing="1" w:line="240" w:lineRule="auto"/>
        <w:jc w:val="left"/>
        <w:outlineLvl w:val="0"/>
        <w:rPr>
          <w:rFonts w:hint="default"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威海市立医院招标采购</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8"/>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选定和平路院区手术室改造2台DSA的环保竣工验收供应商项目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②</w:t>
            </w:r>
            <w:r>
              <w:rPr>
                <w:rFonts w:hint="eastAsia" w:ascii="Calibri" w:hAnsi="Calibri" w:eastAsia="宋体" w:cs="Times New Roman"/>
                <w:sz w:val="24"/>
                <w:szCs w:val="24"/>
                <w:lang w:eastAsia="zh-CN"/>
              </w:rPr>
              <w:t>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规格型号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③</w:t>
            </w:r>
            <w:r>
              <w:rPr>
                <w:rFonts w:hint="eastAsia" w:ascii="Calibri" w:hAnsi="Calibri" w:eastAsia="宋体" w:cs="Times New Roman"/>
                <w:sz w:val="24"/>
                <w:szCs w:val="24"/>
                <w:lang w:eastAsia="zh-CN"/>
              </w:rPr>
              <w:t>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6"/>
        <w:adjustRightInd w:val="0"/>
        <w:spacing w:before="160" w:after="160"/>
        <w:ind w:firstLine="643"/>
        <w:contextualSpacing/>
        <w:rPr>
          <w:rFonts w:hint="eastAsia" w:ascii="方正仿宋_GBK" w:eastAsia="方正仿宋_GBK"/>
          <w:b/>
          <w:sz w:val="32"/>
          <w:lang w:val="en-US" w:eastAsia="zh-CN"/>
        </w:rPr>
      </w:pPr>
    </w:p>
    <w:p>
      <w:pPr>
        <w:pStyle w:val="16"/>
        <w:adjustRightInd w:val="0"/>
        <w:spacing w:before="160" w:after="160"/>
        <w:ind w:firstLine="643"/>
        <w:contextualSpacing/>
        <w:rPr>
          <w:rFonts w:hint="eastAsia" w:ascii="方正仿宋_GBK" w:eastAsia="方正仿宋_GBK"/>
          <w:b/>
          <w:sz w:val="32"/>
          <w:lang w:val="en-US" w:eastAsia="zh-CN"/>
        </w:rPr>
      </w:pPr>
    </w:p>
    <w:p>
      <w:pPr>
        <w:pStyle w:val="16"/>
        <w:adjustRightInd w:val="0"/>
        <w:spacing w:before="160" w:after="160"/>
        <w:ind w:firstLine="643"/>
        <w:contextualSpacing/>
        <w:rPr>
          <w:rFonts w:hint="eastAsia" w:ascii="方正仿宋_GBK" w:eastAsia="方正仿宋_GBK"/>
          <w:b/>
          <w:sz w:val="32"/>
          <w:lang w:val="en-US" w:eastAsia="zh-CN"/>
        </w:rPr>
      </w:pPr>
      <w:r>
        <w:rPr>
          <w:rFonts w:hint="eastAsia" w:ascii="方正仿宋_GBK" w:eastAsia="方正仿宋_GBK"/>
          <w:b/>
          <w:sz w:val="32"/>
          <w:lang w:val="en-US" w:eastAsia="zh-CN"/>
        </w:rPr>
        <w:t>附件4：</w:t>
      </w:r>
    </w:p>
    <w:p>
      <w:pPr>
        <w:pStyle w:val="16"/>
        <w:adjustRightInd w:val="0"/>
        <w:spacing w:before="160" w:after="160"/>
        <w:ind w:firstLine="643"/>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6"/>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6"/>
              <w:adjustRightInd w:val="0"/>
              <w:spacing w:line="360" w:lineRule="exact"/>
              <w:ind w:firstLine="560"/>
              <w:contextualSpacing/>
              <w:rPr>
                <w:rFonts w:ascii="方正仿宋_GBK" w:eastAsia="方正仿宋_GBK"/>
                <w:sz w:val="28"/>
              </w:rPr>
            </w:pPr>
          </w:p>
          <w:p>
            <w:pPr>
              <w:pStyle w:val="16"/>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1"/>
    </w:tbl>
    <w:p>
      <w:pPr>
        <w:widowControl/>
        <w:jc w:val="left"/>
      </w:pPr>
    </w:p>
    <w:p>
      <w:pPr>
        <w:widowControl/>
        <w:jc w:val="left"/>
      </w:pPr>
    </w:p>
    <w:p>
      <w:pPr>
        <w:widowControl/>
        <w:jc w:val="left"/>
      </w:pPr>
    </w:p>
    <w:p>
      <w:pPr>
        <w:pStyle w:val="16"/>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6"/>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6"/>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年  月  日</w:t>
      </w:r>
    </w:p>
    <w:p>
      <w:pPr>
        <w:widowControl/>
        <w:adjustRightInd w:val="0"/>
        <w:spacing w:before="160" w:after="160"/>
        <w:contextualSpacing/>
        <w:jc w:val="left"/>
        <w:rPr>
          <w:rFonts w:ascii="宋体" w:hAnsi="宋体" w:eastAsia="宋体"/>
          <w:bCs/>
          <w:szCs w:val="21"/>
        </w:rPr>
      </w:pPr>
    </w:p>
    <w:p>
      <w:pPr>
        <w:jc w:val="left"/>
        <w:rPr>
          <w:rFonts w:hint="eastAsia" w:ascii="宋体" w:hAnsi="宋体" w:eastAsia="宋体" w:cstheme="minorBidi"/>
          <w:b/>
          <w:kern w:val="2"/>
          <w:sz w:val="28"/>
          <w:szCs w:val="28"/>
          <w:lang w:val="en-US" w:eastAsia="zh-CN" w:bidi="ar-SA"/>
        </w:rPr>
      </w:pPr>
      <w:r>
        <w:rPr>
          <w:rFonts w:hint="eastAsia" w:ascii="宋体" w:hAnsi="宋体" w:eastAsia="宋体" w:cstheme="minorBidi"/>
          <w:b/>
          <w:kern w:val="2"/>
          <w:sz w:val="28"/>
          <w:szCs w:val="28"/>
          <w:lang w:val="en-US" w:eastAsia="zh-CN" w:bidi="ar-SA"/>
        </w:rPr>
        <w:t>附件6：选定和平路院区手术室改造2台DSA的环保竣工验收供应商项目评分表</w:t>
      </w:r>
    </w:p>
    <w:tbl>
      <w:tblPr>
        <w:tblStyle w:val="8"/>
        <w:tblW w:w="9783" w:type="dxa"/>
        <w:tblInd w:w="-3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59"/>
        <w:gridCol w:w="540"/>
        <w:gridCol w:w="900"/>
        <w:gridCol w:w="7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2" w:hRule="atLeast"/>
        </w:trPr>
        <w:tc>
          <w:tcPr>
            <w:tcW w:w="359" w:type="dxa"/>
            <w:vMerge w:val="restart"/>
            <w:noWrap w:val="0"/>
            <w:vAlign w:val="center"/>
          </w:tcPr>
          <w:p>
            <w:pPr>
              <w:spacing w:line="280" w:lineRule="exact"/>
              <w:jc w:val="center"/>
              <w:rPr>
                <w:rFonts w:hint="eastAsia" w:ascii="宋体" w:hAnsi="宋体"/>
                <w:szCs w:val="21"/>
              </w:rPr>
            </w:pPr>
            <w:r>
              <w:rPr>
                <w:rFonts w:hint="eastAsia" w:ascii="宋体" w:hAnsi="宋体"/>
                <w:szCs w:val="21"/>
              </w:rPr>
              <w:t>序号</w:t>
            </w:r>
          </w:p>
        </w:tc>
        <w:tc>
          <w:tcPr>
            <w:tcW w:w="1440" w:type="dxa"/>
            <w:gridSpan w:val="2"/>
            <w:vMerge w:val="restart"/>
            <w:noWrap w:val="0"/>
            <w:vAlign w:val="center"/>
          </w:tcPr>
          <w:p>
            <w:pPr>
              <w:spacing w:line="280" w:lineRule="exact"/>
              <w:jc w:val="center"/>
              <w:rPr>
                <w:rFonts w:hint="eastAsia" w:ascii="宋体" w:hAnsi="宋体"/>
                <w:szCs w:val="21"/>
              </w:rPr>
            </w:pPr>
            <w:r>
              <w:rPr>
                <w:rFonts w:hint="eastAsia" w:ascii="宋体" w:hAnsi="宋体"/>
                <w:szCs w:val="21"/>
              </w:rPr>
              <w:t>评审项目及标准分</w:t>
            </w:r>
          </w:p>
        </w:tc>
        <w:tc>
          <w:tcPr>
            <w:tcW w:w="7984" w:type="dxa"/>
            <w:vMerge w:val="restart"/>
            <w:noWrap w:val="0"/>
            <w:vAlign w:val="center"/>
          </w:tcPr>
          <w:p>
            <w:pPr>
              <w:spacing w:line="280" w:lineRule="exact"/>
              <w:jc w:val="center"/>
              <w:rPr>
                <w:rFonts w:hint="eastAsia" w:ascii="宋体" w:hAnsi="宋体"/>
                <w:szCs w:val="21"/>
              </w:rPr>
            </w:pPr>
            <w:r>
              <w:rPr>
                <w:rFonts w:hint="eastAsia" w:ascii="宋体" w:hAnsi="宋体"/>
                <w:szCs w:val="21"/>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5" w:hRule="atLeast"/>
        </w:trPr>
        <w:tc>
          <w:tcPr>
            <w:tcW w:w="359" w:type="dxa"/>
            <w:vMerge w:val="continue"/>
            <w:noWrap w:val="0"/>
            <w:vAlign w:val="center"/>
          </w:tcPr>
          <w:p>
            <w:pPr>
              <w:spacing w:line="280" w:lineRule="exact"/>
              <w:jc w:val="center"/>
              <w:rPr>
                <w:rFonts w:hint="eastAsia" w:ascii="宋体" w:hAnsi="宋体"/>
                <w:szCs w:val="21"/>
              </w:rPr>
            </w:pPr>
          </w:p>
        </w:tc>
        <w:tc>
          <w:tcPr>
            <w:tcW w:w="1440" w:type="dxa"/>
            <w:gridSpan w:val="2"/>
            <w:vMerge w:val="continue"/>
            <w:noWrap w:val="0"/>
            <w:vAlign w:val="center"/>
          </w:tcPr>
          <w:p>
            <w:pPr>
              <w:spacing w:line="280" w:lineRule="exact"/>
              <w:jc w:val="center"/>
              <w:rPr>
                <w:rFonts w:hint="eastAsia" w:ascii="宋体" w:hAnsi="宋体"/>
                <w:szCs w:val="21"/>
              </w:rPr>
            </w:pPr>
          </w:p>
        </w:tc>
        <w:tc>
          <w:tcPr>
            <w:tcW w:w="7984" w:type="dxa"/>
            <w:vMerge w:val="continue"/>
            <w:noWrap w:val="0"/>
            <w:vAlign w:val="center"/>
          </w:tcPr>
          <w:p>
            <w:pPr>
              <w:spacing w:line="280" w:lineRule="exact"/>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4" w:hRule="atLeast"/>
        </w:trPr>
        <w:tc>
          <w:tcPr>
            <w:tcW w:w="359" w:type="dxa"/>
            <w:noWrap w:val="0"/>
            <w:vAlign w:val="center"/>
          </w:tcPr>
          <w:p>
            <w:pPr>
              <w:spacing w:line="280" w:lineRule="exact"/>
              <w:jc w:val="center"/>
              <w:rPr>
                <w:rFonts w:hint="eastAsia" w:ascii="宋体" w:hAnsi="宋体"/>
                <w:szCs w:val="21"/>
              </w:rPr>
            </w:pPr>
            <w:r>
              <w:rPr>
                <w:rFonts w:hint="eastAsia" w:ascii="宋体" w:hAnsi="宋体"/>
                <w:szCs w:val="21"/>
              </w:rPr>
              <w:t>1</w:t>
            </w:r>
          </w:p>
        </w:tc>
        <w:tc>
          <w:tcPr>
            <w:tcW w:w="1440" w:type="dxa"/>
            <w:gridSpan w:val="2"/>
            <w:noWrap w:val="0"/>
            <w:vAlign w:val="center"/>
          </w:tcPr>
          <w:p>
            <w:pPr>
              <w:spacing w:line="280" w:lineRule="exact"/>
              <w:jc w:val="center"/>
              <w:rPr>
                <w:rFonts w:hint="eastAsia" w:ascii="宋体" w:hAnsi="宋体"/>
                <w:szCs w:val="21"/>
              </w:rPr>
            </w:pPr>
            <w:r>
              <w:rPr>
                <w:rFonts w:hint="eastAsia" w:ascii="宋体" w:hAnsi="宋体"/>
                <w:szCs w:val="21"/>
              </w:rPr>
              <w:t>报   价</w:t>
            </w:r>
          </w:p>
          <w:p>
            <w:pPr>
              <w:spacing w:line="280" w:lineRule="exact"/>
              <w:jc w:val="center"/>
              <w:rPr>
                <w:rFonts w:hint="eastAsia" w:ascii="宋体" w:hAnsi="宋体"/>
                <w:szCs w:val="21"/>
              </w:rPr>
            </w:pPr>
            <w:r>
              <w:rPr>
                <w:rFonts w:hint="eastAsia" w:ascii="宋体" w:hAnsi="宋体"/>
                <w:szCs w:val="21"/>
                <w:lang w:val="en-US" w:eastAsia="zh-CN"/>
              </w:rPr>
              <w:t>30</w:t>
            </w:r>
            <w:r>
              <w:rPr>
                <w:rFonts w:hint="eastAsia" w:ascii="宋体" w:hAnsi="宋体"/>
                <w:szCs w:val="21"/>
              </w:rPr>
              <w:t>分</w:t>
            </w:r>
          </w:p>
        </w:tc>
        <w:tc>
          <w:tcPr>
            <w:tcW w:w="7984" w:type="dxa"/>
            <w:noWrap w:val="0"/>
            <w:vAlign w:val="center"/>
          </w:tcPr>
          <w:p>
            <w:pPr>
              <w:spacing w:line="280" w:lineRule="exact"/>
              <w:rPr>
                <w:rFonts w:hint="eastAsia" w:ascii="宋体" w:hAnsi="宋体"/>
                <w:szCs w:val="21"/>
              </w:rPr>
            </w:pPr>
            <w:r>
              <w:rPr>
                <w:rFonts w:hint="eastAsia" w:ascii="宋体" w:hAnsi="宋体"/>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szCs w:val="21"/>
                <w:lang w:val="en-US" w:eastAsia="zh-CN"/>
              </w:rPr>
              <w:t>30</w:t>
            </w:r>
            <w:r>
              <w:rPr>
                <w:rFonts w:hint="eastAsia"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656" w:hRule="atLeast"/>
        </w:trPr>
        <w:tc>
          <w:tcPr>
            <w:tcW w:w="359" w:type="dxa"/>
            <w:noWrap w:val="0"/>
            <w:vAlign w:val="center"/>
          </w:tcPr>
          <w:p>
            <w:pPr>
              <w:spacing w:line="280" w:lineRule="exact"/>
              <w:jc w:val="center"/>
              <w:rPr>
                <w:rFonts w:hint="eastAsia" w:ascii="宋体" w:hAnsi="宋体" w:eastAsia="宋体"/>
                <w:szCs w:val="21"/>
                <w:lang w:eastAsia="zh-CN"/>
              </w:rPr>
            </w:pPr>
            <w:r>
              <w:rPr>
                <w:rFonts w:hint="eastAsia" w:ascii="宋体" w:hAnsi="宋体"/>
                <w:szCs w:val="21"/>
                <w:lang w:val="en-US" w:eastAsia="zh-CN"/>
              </w:rPr>
              <w:t>2</w:t>
            </w:r>
          </w:p>
        </w:tc>
        <w:tc>
          <w:tcPr>
            <w:tcW w:w="540" w:type="dxa"/>
            <w:vMerge w:val="restart"/>
            <w:noWrap w:val="0"/>
            <w:vAlign w:val="center"/>
          </w:tcPr>
          <w:p>
            <w:pPr>
              <w:spacing w:line="280" w:lineRule="exact"/>
              <w:jc w:val="center"/>
              <w:rPr>
                <w:rFonts w:hint="eastAsia" w:ascii="宋体" w:hAnsi="宋体"/>
                <w:szCs w:val="21"/>
              </w:rPr>
            </w:pPr>
          </w:p>
        </w:tc>
        <w:tc>
          <w:tcPr>
            <w:tcW w:w="900" w:type="dxa"/>
            <w:noWrap w:val="0"/>
            <w:vAlign w:val="center"/>
          </w:tcPr>
          <w:p>
            <w:pPr>
              <w:spacing w:line="280" w:lineRule="exact"/>
              <w:jc w:val="center"/>
              <w:rPr>
                <w:rFonts w:hint="eastAsia" w:ascii="宋体" w:hAnsi="宋体"/>
                <w:szCs w:val="21"/>
              </w:rPr>
            </w:pPr>
            <w:r>
              <w:rPr>
                <w:rFonts w:hint="eastAsia" w:ascii="宋体" w:hAnsi="宋体"/>
                <w:szCs w:val="21"/>
                <w:lang w:eastAsia="zh-CN"/>
              </w:rPr>
              <w:t>项目实施方案</w:t>
            </w:r>
            <w:r>
              <w:rPr>
                <w:rFonts w:hint="eastAsia" w:ascii="宋体" w:hAnsi="宋体"/>
                <w:szCs w:val="21"/>
                <w:lang w:val="en-US" w:eastAsia="zh-CN"/>
              </w:rPr>
              <w:t>40</w:t>
            </w:r>
            <w:r>
              <w:rPr>
                <w:rFonts w:hint="eastAsia" w:ascii="宋体" w:hAnsi="宋体"/>
                <w:szCs w:val="21"/>
              </w:rPr>
              <w:t>分</w:t>
            </w:r>
          </w:p>
        </w:tc>
        <w:tc>
          <w:tcPr>
            <w:tcW w:w="7984" w:type="dxa"/>
            <w:noWrap w:val="0"/>
            <w:vAlign w:val="center"/>
          </w:tcPr>
          <w:p>
            <w:pPr>
              <w:numPr>
                <w:ilvl w:val="0"/>
                <w:numId w:val="4"/>
              </w:numPr>
              <w:spacing w:line="280" w:lineRule="exact"/>
              <w:rPr>
                <w:rFonts w:hint="eastAsia" w:ascii="宋体" w:hAnsi="宋体"/>
                <w:szCs w:val="21"/>
              </w:rPr>
            </w:pPr>
            <w:r>
              <w:rPr>
                <w:rFonts w:hint="eastAsia" w:ascii="宋体" w:hAnsi="宋体"/>
                <w:szCs w:val="21"/>
              </w:rPr>
              <w:t>评价对本项目总体思路，项目的理解、认知等要素的合理性，可行性等因素。</w:t>
            </w:r>
          </w:p>
          <w:p>
            <w:pPr>
              <w:numPr>
                <w:ilvl w:val="0"/>
                <w:numId w:val="4"/>
              </w:numPr>
              <w:spacing w:line="280" w:lineRule="exact"/>
              <w:rPr>
                <w:rFonts w:hint="eastAsia" w:ascii="宋体" w:hAnsi="宋体"/>
                <w:szCs w:val="21"/>
              </w:rPr>
            </w:pPr>
            <w:r>
              <w:rPr>
                <w:rFonts w:hint="eastAsia" w:ascii="宋体" w:hAnsi="宋体"/>
                <w:szCs w:val="21"/>
              </w:rPr>
              <w:t>评价对本项目的重点难点分析，应对措施及相应的合理化建议等内容。</w:t>
            </w:r>
          </w:p>
          <w:p>
            <w:pPr>
              <w:numPr>
                <w:ilvl w:val="0"/>
                <w:numId w:val="4"/>
              </w:numPr>
              <w:spacing w:line="280" w:lineRule="exact"/>
              <w:rPr>
                <w:rFonts w:hint="eastAsia" w:ascii="宋体" w:hAnsi="宋体"/>
                <w:szCs w:val="21"/>
              </w:rPr>
            </w:pPr>
            <w:r>
              <w:rPr>
                <w:rFonts w:hint="eastAsia" w:ascii="宋体" w:hAnsi="宋体"/>
                <w:szCs w:val="21"/>
              </w:rPr>
              <w:t>评价实施方法和手段，项目完成后的服务承诺等内容。</w:t>
            </w:r>
          </w:p>
          <w:p>
            <w:pPr>
              <w:numPr>
                <w:ilvl w:val="0"/>
                <w:numId w:val="4"/>
              </w:numPr>
              <w:spacing w:line="280" w:lineRule="exact"/>
              <w:rPr>
                <w:rFonts w:hint="eastAsia" w:ascii="宋体" w:hAnsi="宋体"/>
                <w:szCs w:val="21"/>
              </w:rPr>
            </w:pPr>
            <w:r>
              <w:rPr>
                <w:rFonts w:hint="eastAsia" w:ascii="宋体" w:hAnsi="宋体"/>
                <w:szCs w:val="21"/>
              </w:rPr>
              <w:t>评价企业要充分考虑所建项目的发展需要，防止以后由于医院的发展，病人增加或设备更新受所建项目的制约，影响医院发展。</w:t>
            </w:r>
          </w:p>
          <w:p>
            <w:pPr>
              <w:numPr>
                <w:ilvl w:val="0"/>
                <w:numId w:val="4"/>
              </w:numPr>
              <w:spacing w:line="280" w:lineRule="exact"/>
              <w:rPr>
                <w:rFonts w:hint="eastAsia" w:ascii="宋体" w:hAnsi="宋体"/>
                <w:szCs w:val="21"/>
              </w:rPr>
            </w:pPr>
            <w:r>
              <w:rPr>
                <w:rFonts w:hint="eastAsia" w:ascii="宋体" w:hAnsi="宋体"/>
                <w:szCs w:val="21"/>
              </w:rPr>
              <w:t>评价方要亲临现场为项目建设的环境影响提供切实可行的建议。</w:t>
            </w:r>
          </w:p>
          <w:p>
            <w:pPr>
              <w:spacing w:line="280" w:lineRule="exact"/>
              <w:rPr>
                <w:rFonts w:hint="eastAsia" w:ascii="宋体" w:hAnsi="宋体"/>
                <w:szCs w:val="21"/>
              </w:rPr>
            </w:pPr>
            <w:r>
              <w:rPr>
                <w:rFonts w:hint="eastAsia" w:ascii="宋体" w:hAnsi="宋体"/>
                <w:szCs w:val="21"/>
                <w:lang w:eastAsia="zh-CN"/>
              </w:rPr>
              <w:t>评委根据</w:t>
            </w:r>
            <w:r>
              <w:rPr>
                <w:rFonts w:hint="eastAsia" w:ascii="宋体" w:hAnsi="宋体"/>
                <w:szCs w:val="21"/>
                <w:lang w:val="en-US" w:eastAsia="zh-CN"/>
              </w:rPr>
              <w:t>采购</w:t>
            </w:r>
            <w:r>
              <w:rPr>
                <w:rFonts w:hint="eastAsia" w:ascii="宋体" w:hAnsi="宋体"/>
                <w:szCs w:val="21"/>
                <w:lang w:eastAsia="zh-CN"/>
              </w:rPr>
              <w:t>文件描述酌情打分，最高分</w:t>
            </w:r>
            <w:r>
              <w:rPr>
                <w:rFonts w:hint="eastAsia" w:ascii="宋体" w:hAnsi="宋体"/>
                <w:szCs w:val="21"/>
                <w:lang w:val="en-US" w:eastAsia="zh-CN"/>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65" w:hRule="atLeast"/>
        </w:trPr>
        <w:tc>
          <w:tcPr>
            <w:tcW w:w="359" w:type="dxa"/>
            <w:noWrap w:val="0"/>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3</w:t>
            </w:r>
          </w:p>
        </w:tc>
        <w:tc>
          <w:tcPr>
            <w:tcW w:w="540" w:type="dxa"/>
            <w:vMerge w:val="continue"/>
            <w:noWrap w:val="0"/>
            <w:vAlign w:val="center"/>
          </w:tcPr>
          <w:p>
            <w:pPr>
              <w:spacing w:line="280" w:lineRule="exact"/>
              <w:jc w:val="center"/>
              <w:rPr>
                <w:rFonts w:hint="eastAsia" w:ascii="宋体" w:hAnsi="宋体"/>
                <w:szCs w:val="21"/>
              </w:rPr>
            </w:pPr>
          </w:p>
        </w:tc>
        <w:tc>
          <w:tcPr>
            <w:tcW w:w="900" w:type="dxa"/>
            <w:noWrap w:val="0"/>
            <w:vAlign w:val="center"/>
          </w:tcPr>
          <w:p>
            <w:pPr>
              <w:numPr>
                <w:ilvl w:val="0"/>
                <w:numId w:val="0"/>
              </w:numPr>
              <w:spacing w:line="280" w:lineRule="exact"/>
              <w:ind w:leftChars="0"/>
              <w:rPr>
                <w:rFonts w:hint="eastAsia" w:ascii="宋体" w:hAnsi="宋体"/>
                <w:szCs w:val="21"/>
              </w:rPr>
            </w:pPr>
            <w:r>
              <w:rPr>
                <w:rFonts w:hint="eastAsia" w:ascii="宋体" w:hAnsi="宋体"/>
                <w:szCs w:val="21"/>
              </w:rPr>
              <w:t>项目机构设置情况</w:t>
            </w:r>
          </w:p>
          <w:p>
            <w:pPr>
              <w:numPr>
                <w:ilvl w:val="0"/>
                <w:numId w:val="0"/>
              </w:numPr>
              <w:spacing w:line="280" w:lineRule="exact"/>
              <w:ind w:left="0" w:leftChars="0" w:firstLine="0" w:firstLineChars="0"/>
              <w:rPr>
                <w:rFonts w:hint="eastAsia" w:ascii="宋体" w:hAnsi="宋体"/>
                <w:szCs w:val="21"/>
                <w:lang w:eastAsia="zh-CN"/>
              </w:rPr>
            </w:pPr>
            <w:r>
              <w:rPr>
                <w:rFonts w:hint="eastAsia" w:ascii="宋体" w:hAnsi="宋体"/>
                <w:szCs w:val="21"/>
                <w:lang w:val="en-US" w:eastAsia="zh-CN"/>
              </w:rPr>
              <w:t>10</w:t>
            </w:r>
            <w:r>
              <w:rPr>
                <w:rFonts w:hint="eastAsia" w:ascii="宋体" w:hAnsi="宋体"/>
                <w:szCs w:val="21"/>
              </w:rPr>
              <w:t>分</w:t>
            </w:r>
          </w:p>
        </w:tc>
        <w:tc>
          <w:tcPr>
            <w:tcW w:w="7984" w:type="dxa"/>
            <w:noWrap w:val="0"/>
            <w:vAlign w:val="center"/>
          </w:tcPr>
          <w:p>
            <w:pPr>
              <w:numPr>
                <w:ilvl w:val="0"/>
                <w:numId w:val="5"/>
              </w:numPr>
              <w:spacing w:line="280" w:lineRule="exact"/>
              <w:rPr>
                <w:rFonts w:hint="eastAsia" w:ascii="宋体" w:hAnsi="宋体"/>
                <w:szCs w:val="21"/>
              </w:rPr>
            </w:pPr>
            <w:r>
              <w:rPr>
                <w:rFonts w:hint="eastAsia" w:ascii="宋体" w:hAnsi="宋体"/>
                <w:szCs w:val="21"/>
              </w:rPr>
              <w:t>考核评价机构人员数量、素质、能力及经验。</w:t>
            </w:r>
          </w:p>
          <w:p>
            <w:pPr>
              <w:numPr>
                <w:ilvl w:val="0"/>
                <w:numId w:val="5"/>
              </w:numPr>
              <w:spacing w:line="280" w:lineRule="exact"/>
              <w:ind w:left="0" w:leftChars="0" w:firstLine="0" w:firstLineChars="0"/>
              <w:rPr>
                <w:rFonts w:hint="eastAsia" w:ascii="宋体" w:hAnsi="宋体"/>
                <w:szCs w:val="21"/>
              </w:rPr>
            </w:pPr>
            <w:r>
              <w:rPr>
                <w:rFonts w:hint="eastAsia" w:ascii="宋体" w:hAnsi="宋体"/>
                <w:szCs w:val="21"/>
              </w:rPr>
              <w:t>考核项目负责人专业技能、执业资格、从业年限及工作能力。</w:t>
            </w:r>
          </w:p>
          <w:p>
            <w:pPr>
              <w:numPr>
                <w:ilvl w:val="0"/>
                <w:numId w:val="0"/>
              </w:numPr>
              <w:spacing w:line="280" w:lineRule="exact"/>
              <w:ind w:left="0" w:leftChars="0" w:firstLine="0" w:firstLineChars="0"/>
              <w:rPr>
                <w:rFonts w:hint="eastAsia" w:ascii="宋体" w:hAnsi="宋体"/>
                <w:szCs w:val="21"/>
                <w:lang w:eastAsia="zh-CN"/>
              </w:rPr>
            </w:pPr>
            <w:r>
              <w:rPr>
                <w:rFonts w:hint="eastAsia" w:ascii="宋体" w:hAnsi="宋体"/>
                <w:szCs w:val="21"/>
                <w:lang w:eastAsia="zh-CN"/>
              </w:rPr>
              <w:t>评委根据磋商文件描述酌情打分，最高分</w:t>
            </w:r>
            <w:r>
              <w:rPr>
                <w:rFonts w:hint="eastAsia" w:ascii="宋体" w:hAnsi="宋体"/>
                <w:szCs w:val="21"/>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5" w:hRule="atLeast"/>
        </w:trPr>
        <w:tc>
          <w:tcPr>
            <w:tcW w:w="359" w:type="dxa"/>
            <w:noWrap w:val="0"/>
            <w:vAlign w:val="center"/>
          </w:tcPr>
          <w:p>
            <w:pPr>
              <w:spacing w:line="28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540" w:type="dxa"/>
            <w:vMerge w:val="continue"/>
            <w:noWrap w:val="0"/>
            <w:vAlign w:val="center"/>
          </w:tcPr>
          <w:p>
            <w:pPr>
              <w:spacing w:line="280" w:lineRule="exact"/>
              <w:jc w:val="center"/>
              <w:rPr>
                <w:rFonts w:hint="eastAsia" w:ascii="宋体" w:hAnsi="宋体"/>
                <w:szCs w:val="21"/>
              </w:rPr>
            </w:pPr>
          </w:p>
        </w:tc>
        <w:tc>
          <w:tcPr>
            <w:tcW w:w="900" w:type="dxa"/>
            <w:noWrap w:val="0"/>
            <w:vAlign w:val="center"/>
          </w:tcPr>
          <w:p>
            <w:pPr>
              <w:spacing w:line="280" w:lineRule="exact"/>
              <w:jc w:val="center"/>
              <w:rPr>
                <w:rFonts w:hint="eastAsia" w:ascii="宋体" w:hAnsi="宋体"/>
                <w:szCs w:val="21"/>
              </w:rPr>
            </w:pPr>
            <w:r>
              <w:rPr>
                <w:rFonts w:hint="eastAsia" w:ascii="宋体" w:hAnsi="宋体"/>
                <w:szCs w:val="21"/>
                <w:lang w:eastAsia="zh-CN"/>
              </w:rPr>
              <w:t>完成检测报告</w:t>
            </w:r>
            <w:r>
              <w:rPr>
                <w:rFonts w:hint="eastAsia" w:ascii="宋体" w:hAnsi="宋体"/>
                <w:szCs w:val="21"/>
                <w:lang w:val="en-US" w:eastAsia="zh-CN"/>
              </w:rPr>
              <w:t>15</w:t>
            </w:r>
            <w:r>
              <w:rPr>
                <w:rFonts w:hint="eastAsia" w:ascii="宋体" w:hAnsi="宋体"/>
                <w:szCs w:val="21"/>
              </w:rPr>
              <w:t>分</w:t>
            </w:r>
          </w:p>
        </w:tc>
        <w:tc>
          <w:tcPr>
            <w:tcW w:w="7984" w:type="dxa"/>
            <w:noWrap w:val="0"/>
            <w:vAlign w:val="center"/>
          </w:tcPr>
          <w:p>
            <w:pPr>
              <w:spacing w:line="280" w:lineRule="exact"/>
              <w:rPr>
                <w:rFonts w:hint="eastAsia" w:ascii="宋体" w:hAnsi="宋体" w:eastAsia="宋体"/>
                <w:szCs w:val="21"/>
                <w:lang w:val="en-US" w:eastAsia="zh-CN"/>
              </w:rPr>
            </w:pPr>
            <w:r>
              <w:rPr>
                <w:rFonts w:hint="eastAsia" w:ascii="宋体" w:hAnsi="宋体"/>
                <w:szCs w:val="21"/>
              </w:rPr>
              <w:t>由评委审核各投标人的投标文件后根据以下标准</w:t>
            </w:r>
            <w:r>
              <w:rPr>
                <w:rFonts w:hint="eastAsia" w:ascii="宋体" w:hAnsi="宋体"/>
                <w:szCs w:val="21"/>
                <w:lang w:eastAsia="zh-CN"/>
              </w:rPr>
              <w:t>打分，最高分</w:t>
            </w:r>
            <w:r>
              <w:rPr>
                <w:rFonts w:hint="eastAsia" w:ascii="宋体" w:hAnsi="宋体"/>
                <w:szCs w:val="21"/>
                <w:lang w:val="en-US" w:eastAsia="zh-CN"/>
              </w:rPr>
              <w:t>15分</w:t>
            </w:r>
          </w:p>
          <w:p>
            <w:pPr>
              <w:spacing w:line="280" w:lineRule="exact"/>
              <w:rPr>
                <w:rFonts w:hint="eastAsia" w:ascii="宋体" w:hAnsi="宋体"/>
                <w:szCs w:val="21"/>
                <w:lang w:val="en-US" w:eastAsia="zh-CN"/>
              </w:rPr>
            </w:pPr>
            <w:r>
              <w:rPr>
                <w:rFonts w:hint="eastAsia" w:ascii="宋体" w:hAnsi="宋体"/>
                <w:szCs w:val="21"/>
              </w:rPr>
              <w:t>在</w:t>
            </w:r>
            <w:r>
              <w:rPr>
                <w:rFonts w:hint="eastAsia" w:ascii="宋体" w:hAnsi="宋体"/>
                <w:szCs w:val="21"/>
                <w:lang w:val="en-US" w:eastAsia="zh-CN"/>
              </w:rPr>
              <w:t>项目</w:t>
            </w:r>
            <w:r>
              <w:rPr>
                <w:rFonts w:hint="eastAsia" w:ascii="宋体" w:hAnsi="宋体"/>
                <w:szCs w:val="21"/>
                <w:lang w:eastAsia="zh-CN"/>
              </w:rPr>
              <w:t>生效之日起</w:t>
            </w:r>
            <w:r>
              <w:rPr>
                <w:rFonts w:hint="eastAsia" w:ascii="宋体" w:hAnsi="宋体"/>
                <w:szCs w:val="21"/>
                <w:lang w:val="en-US" w:eastAsia="zh-CN"/>
              </w:rPr>
              <w:t>10个工作日内</w:t>
            </w:r>
            <w:r>
              <w:rPr>
                <w:rFonts w:ascii="宋体" w:hAnsi="宋体"/>
                <w:szCs w:val="21"/>
              </w:rPr>
              <w:t>能够完成</w:t>
            </w:r>
            <w:r>
              <w:rPr>
                <w:rFonts w:hint="eastAsia" w:ascii="宋体" w:hAnsi="宋体"/>
                <w:szCs w:val="21"/>
                <w:lang w:eastAsia="zh-CN"/>
              </w:rPr>
              <w:t>检测报告，得</w:t>
            </w:r>
            <w:r>
              <w:rPr>
                <w:rFonts w:hint="eastAsia" w:ascii="宋体" w:hAnsi="宋体"/>
                <w:szCs w:val="21"/>
                <w:lang w:val="en-US" w:eastAsia="zh-CN"/>
              </w:rPr>
              <w:t>10-15分</w:t>
            </w:r>
          </w:p>
          <w:p>
            <w:pPr>
              <w:spacing w:line="280" w:lineRule="exact"/>
              <w:rPr>
                <w:rFonts w:hint="eastAsia" w:ascii="宋体" w:hAnsi="宋体"/>
                <w:szCs w:val="21"/>
                <w:lang w:val="en-US"/>
              </w:rPr>
            </w:pPr>
            <w:r>
              <w:rPr>
                <w:rFonts w:hint="eastAsia" w:ascii="宋体" w:hAnsi="宋体"/>
                <w:szCs w:val="21"/>
              </w:rPr>
              <w:t>在</w:t>
            </w:r>
            <w:r>
              <w:rPr>
                <w:rFonts w:hint="eastAsia" w:ascii="宋体" w:hAnsi="宋体"/>
                <w:szCs w:val="21"/>
                <w:lang w:eastAsia="zh-CN"/>
              </w:rPr>
              <w:t>合同</w:t>
            </w:r>
            <w:r>
              <w:rPr>
                <w:rFonts w:hint="eastAsia" w:ascii="宋体" w:hAnsi="宋体"/>
                <w:szCs w:val="21"/>
                <w:lang w:val="en-US" w:eastAsia="zh-CN"/>
              </w:rPr>
              <w:t>项目</w:t>
            </w:r>
            <w:r>
              <w:rPr>
                <w:rFonts w:hint="eastAsia" w:ascii="宋体" w:hAnsi="宋体"/>
                <w:szCs w:val="21"/>
                <w:lang w:eastAsia="zh-CN"/>
              </w:rPr>
              <w:t>生效之日起超过</w:t>
            </w:r>
            <w:r>
              <w:rPr>
                <w:rFonts w:hint="eastAsia" w:ascii="宋体" w:hAnsi="宋体"/>
                <w:szCs w:val="21"/>
                <w:lang w:val="en-US" w:eastAsia="zh-CN"/>
              </w:rPr>
              <w:t>10个工作日</w:t>
            </w:r>
            <w:r>
              <w:rPr>
                <w:rFonts w:ascii="宋体" w:hAnsi="宋体"/>
                <w:szCs w:val="21"/>
              </w:rPr>
              <w:t>完成</w:t>
            </w:r>
            <w:r>
              <w:rPr>
                <w:rFonts w:hint="eastAsia" w:ascii="宋体" w:hAnsi="宋体"/>
                <w:szCs w:val="21"/>
                <w:lang w:eastAsia="zh-CN"/>
              </w:rPr>
              <w:t>检测报告，得</w:t>
            </w:r>
            <w:r>
              <w:rPr>
                <w:rFonts w:hint="eastAsia" w:ascii="宋体" w:hAnsi="宋体"/>
                <w:szCs w:val="21"/>
                <w:lang w:val="en-US" w:eastAsia="zh-CN"/>
              </w:rPr>
              <w:t>1-10分</w:t>
            </w:r>
          </w:p>
          <w:p>
            <w:pPr>
              <w:spacing w:line="280" w:lineRule="exact"/>
              <w:rPr>
                <w:rFonts w:hint="eastAsia" w:ascii="宋体" w:hAnsi="宋体"/>
                <w:szCs w:val="21"/>
              </w:rPr>
            </w:pPr>
            <w:r>
              <w:rPr>
                <w:rFonts w:hint="eastAsia" w:ascii="宋体" w:hAnsi="宋体"/>
                <w:szCs w:val="21"/>
                <w:lang w:val="en-US" w:eastAsia="zh-CN"/>
              </w:rPr>
              <w:t>承诺特殊情况下能及时配合医院完成报告得2分。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5" w:hRule="atLeast"/>
        </w:trPr>
        <w:tc>
          <w:tcPr>
            <w:tcW w:w="359" w:type="dxa"/>
            <w:noWrap w:val="0"/>
            <w:vAlign w:val="center"/>
          </w:tcPr>
          <w:p>
            <w:pPr>
              <w:spacing w:line="280" w:lineRule="exact"/>
              <w:jc w:val="center"/>
              <w:rPr>
                <w:rFonts w:hint="default" w:ascii="宋体" w:hAnsi="宋体"/>
                <w:szCs w:val="21"/>
                <w:lang w:val="en-US" w:eastAsia="zh-CN"/>
              </w:rPr>
            </w:pPr>
            <w:r>
              <w:rPr>
                <w:rFonts w:hint="eastAsia" w:ascii="宋体" w:hAnsi="宋体"/>
                <w:szCs w:val="21"/>
                <w:lang w:val="en-US" w:eastAsia="zh-CN"/>
              </w:rPr>
              <w:t>5</w:t>
            </w:r>
          </w:p>
        </w:tc>
        <w:tc>
          <w:tcPr>
            <w:tcW w:w="540" w:type="dxa"/>
            <w:noWrap w:val="0"/>
            <w:vAlign w:val="center"/>
          </w:tcPr>
          <w:p>
            <w:pPr>
              <w:spacing w:line="280" w:lineRule="exact"/>
              <w:jc w:val="center"/>
              <w:rPr>
                <w:rFonts w:hint="eastAsia" w:ascii="宋体" w:hAnsi="宋体"/>
                <w:szCs w:val="21"/>
              </w:rPr>
            </w:pPr>
          </w:p>
        </w:tc>
        <w:tc>
          <w:tcPr>
            <w:tcW w:w="900" w:type="dxa"/>
            <w:noWrap w:val="0"/>
            <w:vAlign w:val="center"/>
          </w:tcPr>
          <w:p>
            <w:pPr>
              <w:spacing w:line="280" w:lineRule="exact"/>
              <w:jc w:val="center"/>
              <w:rPr>
                <w:rFonts w:hint="eastAsia" w:ascii="宋体" w:hAnsi="宋体"/>
                <w:szCs w:val="21"/>
                <w:lang w:val="en-US" w:eastAsia="zh-CN"/>
              </w:rPr>
            </w:pPr>
            <w:r>
              <w:rPr>
                <w:rFonts w:hint="eastAsia" w:ascii="宋体" w:hAnsi="宋体"/>
                <w:szCs w:val="21"/>
                <w:lang w:val="en-US" w:eastAsia="zh-CN"/>
              </w:rPr>
              <w:t>企业业绩</w:t>
            </w:r>
          </w:p>
          <w:p>
            <w:pPr>
              <w:spacing w:line="280" w:lineRule="exact"/>
              <w:jc w:val="center"/>
              <w:rPr>
                <w:rFonts w:hint="eastAsia" w:ascii="宋体" w:hAnsi="宋体"/>
                <w:szCs w:val="21"/>
                <w:lang w:eastAsia="zh-CN"/>
              </w:rPr>
            </w:pPr>
            <w:r>
              <w:rPr>
                <w:rFonts w:hint="eastAsia" w:ascii="宋体" w:hAnsi="宋体"/>
                <w:szCs w:val="21"/>
                <w:lang w:val="en-US" w:eastAsia="zh-CN"/>
              </w:rPr>
              <w:t>5分</w:t>
            </w:r>
          </w:p>
        </w:tc>
        <w:tc>
          <w:tcPr>
            <w:tcW w:w="7984" w:type="dxa"/>
            <w:noWrap w:val="0"/>
            <w:vAlign w:val="top"/>
          </w:tcPr>
          <w:p>
            <w:pPr>
              <w:numPr>
                <w:ilvl w:val="0"/>
                <w:numId w:val="0"/>
              </w:numPr>
              <w:spacing w:line="280" w:lineRule="exact"/>
              <w:ind w:leftChars="-200"/>
              <w:rPr>
                <w:rFonts w:hint="eastAsia" w:ascii="宋体" w:hAnsi="宋体"/>
                <w:szCs w:val="21"/>
                <w:lang w:val="en-US" w:eastAsia="zh-CN"/>
              </w:rPr>
            </w:pPr>
            <w:r>
              <w:rPr>
                <w:rFonts w:hint="eastAsia" w:ascii="宋体" w:hAnsi="宋体"/>
                <w:szCs w:val="21"/>
                <w:lang w:val="en-US" w:eastAsia="zh-CN"/>
              </w:rPr>
              <w:t xml:space="preserve">近三 </w:t>
            </w:r>
            <w:r>
              <w:rPr>
                <w:rFonts w:hint="eastAsia" w:ascii="宋体" w:hAnsi="宋体"/>
                <w:szCs w:val="21"/>
              </w:rPr>
              <w:t>评价公司具有</w:t>
            </w:r>
            <w:r>
              <w:rPr>
                <w:rFonts w:hint="eastAsia" w:ascii="宋体" w:hAnsi="宋体"/>
                <w:szCs w:val="21"/>
                <w:lang w:val="en-US" w:eastAsia="zh-CN"/>
              </w:rPr>
              <w:t>近三年</w:t>
            </w:r>
            <w:bookmarkStart w:id="2" w:name="_GoBack"/>
            <w:bookmarkEnd w:id="2"/>
            <w:r>
              <w:rPr>
                <w:rFonts w:hint="eastAsia" w:ascii="宋体" w:hAnsi="宋体"/>
                <w:szCs w:val="21"/>
              </w:rPr>
              <w:t>同类环评项目业绩，每完成一项评价项目</w:t>
            </w:r>
            <w:r>
              <w:rPr>
                <w:rFonts w:hint="eastAsia" w:ascii="宋体" w:hAnsi="宋体"/>
                <w:szCs w:val="21"/>
                <w:lang w:val="en-US" w:eastAsia="zh-CN"/>
              </w:rPr>
              <w:t>得</w:t>
            </w:r>
            <w:r>
              <w:rPr>
                <w:rFonts w:hint="eastAsia" w:ascii="宋体" w:hAnsi="宋体"/>
                <w:szCs w:val="21"/>
              </w:rPr>
              <w:t>1分，本项最高得分</w:t>
            </w:r>
            <w:r>
              <w:rPr>
                <w:rFonts w:hint="eastAsia" w:ascii="宋体" w:hAnsi="宋体"/>
                <w:szCs w:val="21"/>
                <w:lang w:val="en-US" w:eastAsia="zh-CN"/>
              </w:rPr>
              <w:t>5</w:t>
            </w:r>
            <w:r>
              <w:rPr>
                <w:rFonts w:hint="eastAsia" w:ascii="宋体" w:hAnsi="宋体"/>
                <w:szCs w:val="21"/>
              </w:rPr>
              <w:t>分。以合</w:t>
            </w:r>
          </w:p>
          <w:p>
            <w:pPr>
              <w:spacing w:line="280" w:lineRule="exact"/>
              <w:rPr>
                <w:rFonts w:hint="eastAsia" w:ascii="宋体" w:hAnsi="宋体"/>
                <w:szCs w:val="21"/>
                <w:lang w:val="en-US" w:eastAsia="zh-CN"/>
              </w:rPr>
            </w:pPr>
            <w:r>
              <w:rPr>
                <w:rFonts w:hint="eastAsia" w:ascii="宋体" w:hAnsi="宋体" w:cs="仿宋_GB2312"/>
                <w:szCs w:val="21"/>
                <w:highlight w:val="none"/>
                <w:lang w:val="en-US" w:eastAsia="zh-CN"/>
              </w:rPr>
              <w:t>注，采购文件中需提供完整的合同复印件或者完整的供货发票复印件，否则不得分。</w:t>
            </w:r>
          </w:p>
        </w:tc>
      </w:tr>
    </w:tbl>
    <w:p>
      <w:pPr>
        <w:pStyle w:val="2"/>
        <w:rPr>
          <w:rFonts w:hint="eastAsia"/>
          <w:lang w:val="en-US" w:eastAsia="zh-CN"/>
        </w:rPr>
      </w:pPr>
    </w:p>
    <w:p>
      <w:pPr>
        <w:jc w:val="left"/>
        <w:rPr>
          <w:rFonts w:hint="default" w:eastAsiaTheme="minorEastAsia"/>
          <w:bCs/>
          <w:lang w:val="en-US" w:eastAsia="zh-CN"/>
        </w:rPr>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8657C3-9C23-4728-B319-57F7EF0969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2F9C6A7-9E84-472D-A1F9-398A926C04C2}"/>
  </w:font>
  <w:font w:name="方正仿宋_GBK">
    <w:panose1 w:val="03000509000000000000"/>
    <w:charset w:val="86"/>
    <w:family w:val="script"/>
    <w:pitch w:val="default"/>
    <w:sig w:usb0="00000001" w:usb1="080E0000" w:usb2="00000000" w:usb3="00000000" w:csb0="00040000" w:csb1="00000000"/>
    <w:embedRegular r:id="rId3" w:fontKey="{7BD2C789-642B-4380-A5DB-29A2E3303762}"/>
  </w:font>
  <w:font w:name="Cambria">
    <w:panose1 w:val="02040503050406030204"/>
    <w:charset w:val="00"/>
    <w:family w:val="roman"/>
    <w:pitch w:val="default"/>
    <w:sig w:usb0="E00006FF" w:usb1="420024FF" w:usb2="02000000" w:usb3="00000000" w:csb0="2000019F" w:csb1="00000000"/>
    <w:embedRegular r:id="rId4" w:fontKey="{B1423A47-ED94-4F31-B7AA-184A10DCFB10}"/>
  </w:font>
  <w:font w:name="方正小标宋_GBK">
    <w:panose1 w:val="03000509000000000000"/>
    <w:charset w:val="86"/>
    <w:family w:val="script"/>
    <w:pitch w:val="default"/>
    <w:sig w:usb0="00000001" w:usb1="080E0000" w:usb2="00000000" w:usb3="00000000" w:csb0="00040000" w:csb1="00000000"/>
    <w:embedRegular r:id="rId5" w:fontKey="{0D23347A-EBA8-4329-BDA3-0DC6A1AC358E}"/>
  </w:font>
  <w:font w:name="仿宋_GB2312">
    <w:panose1 w:val="02010609030101010101"/>
    <w:charset w:val="86"/>
    <w:family w:val="auto"/>
    <w:pitch w:val="default"/>
    <w:sig w:usb0="00000001" w:usb1="080E0000" w:usb2="00000000" w:usb3="00000000" w:csb0="00040000" w:csb1="00000000"/>
    <w:embedRegular r:id="rId6" w:fontKey="{5DE80736-A563-4500-A1E1-1C88020BFE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05367"/>
    <w:multiLevelType w:val="singleLevel"/>
    <w:tmpl w:val="E4B05367"/>
    <w:lvl w:ilvl="0" w:tentative="0">
      <w:start w:val="2"/>
      <w:numFmt w:val="chineseCounting"/>
      <w:suff w:val="nothing"/>
      <w:lvlText w:val="%1、"/>
      <w:lvlJc w:val="left"/>
      <w:rPr>
        <w:rFonts w:hint="eastAsia"/>
      </w:rPr>
    </w:lvl>
  </w:abstractNum>
  <w:abstractNum w:abstractNumId="1">
    <w:nsid w:val="F437CD21"/>
    <w:multiLevelType w:val="singleLevel"/>
    <w:tmpl w:val="F437CD21"/>
    <w:lvl w:ilvl="0" w:tentative="0">
      <w:start w:val="1"/>
      <w:numFmt w:val="decimal"/>
      <w:suff w:val="nothing"/>
      <w:lvlText w:val="%1、"/>
      <w:lvlJc w:val="left"/>
    </w:lvl>
  </w:abstractNum>
  <w:abstractNum w:abstractNumId="2">
    <w:nsid w:val="59B20585"/>
    <w:multiLevelType w:val="singleLevel"/>
    <w:tmpl w:val="59B20585"/>
    <w:lvl w:ilvl="0" w:tentative="0">
      <w:start w:val="1"/>
      <w:numFmt w:val="decimal"/>
      <w:suff w:val="nothing"/>
      <w:lvlText w:val="%1."/>
      <w:lvlJc w:val="left"/>
      <w:pPr>
        <w:ind w:left="0" w:firstLine="0"/>
      </w:pPr>
    </w:lvl>
  </w:abstractNum>
  <w:abstractNum w:abstractNumId="3">
    <w:nsid w:val="59B20F1B"/>
    <w:multiLevelType w:val="singleLevel"/>
    <w:tmpl w:val="59B20F1B"/>
    <w:lvl w:ilvl="0" w:tentative="0">
      <w:start w:val="1"/>
      <w:numFmt w:val="decimal"/>
      <w:suff w:val="nothing"/>
      <w:lvlText w:val="%1、"/>
      <w:lvlJc w:val="left"/>
      <w:pPr>
        <w:ind w:left="0" w:firstLine="0"/>
      </w:pPr>
    </w:lvl>
  </w:abstractNum>
  <w:abstractNum w:abstractNumId="4">
    <w:nsid w:val="63DE1961"/>
    <w:multiLevelType w:val="singleLevel"/>
    <w:tmpl w:val="63DE1961"/>
    <w:lvl w:ilvl="0" w:tentative="0">
      <w:start w:val="1"/>
      <w:numFmt w:val="decimal"/>
      <w:lvlText w:val="%1."/>
      <w:lvlJc w:val="left"/>
      <w:pPr>
        <w:tabs>
          <w:tab w:val="left" w:pos="312"/>
        </w:tabs>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33C5388"/>
    <w:rsid w:val="038068C0"/>
    <w:rsid w:val="05271CE3"/>
    <w:rsid w:val="06EC78A0"/>
    <w:rsid w:val="0B385885"/>
    <w:rsid w:val="12CC1DBF"/>
    <w:rsid w:val="13E97A8B"/>
    <w:rsid w:val="13EE7E6C"/>
    <w:rsid w:val="16EF04BD"/>
    <w:rsid w:val="1AFE1664"/>
    <w:rsid w:val="1CC35F44"/>
    <w:rsid w:val="1CE4719A"/>
    <w:rsid w:val="1D7D6A76"/>
    <w:rsid w:val="206029C1"/>
    <w:rsid w:val="20B7141E"/>
    <w:rsid w:val="22220DE5"/>
    <w:rsid w:val="22C713AB"/>
    <w:rsid w:val="22F43A1F"/>
    <w:rsid w:val="24B730FC"/>
    <w:rsid w:val="2805210F"/>
    <w:rsid w:val="28576CEA"/>
    <w:rsid w:val="297325AA"/>
    <w:rsid w:val="2990140F"/>
    <w:rsid w:val="2E8E6608"/>
    <w:rsid w:val="31B006DA"/>
    <w:rsid w:val="33E617BD"/>
    <w:rsid w:val="34FC59D1"/>
    <w:rsid w:val="36125141"/>
    <w:rsid w:val="366D5496"/>
    <w:rsid w:val="3E6469C3"/>
    <w:rsid w:val="3E7C6B56"/>
    <w:rsid w:val="40966984"/>
    <w:rsid w:val="43063938"/>
    <w:rsid w:val="45E37C15"/>
    <w:rsid w:val="47CB3ECE"/>
    <w:rsid w:val="48161295"/>
    <w:rsid w:val="49687BBC"/>
    <w:rsid w:val="4BAD7DD3"/>
    <w:rsid w:val="4D411BCB"/>
    <w:rsid w:val="532C00AA"/>
    <w:rsid w:val="534D6638"/>
    <w:rsid w:val="54ED5DAB"/>
    <w:rsid w:val="55FE7053"/>
    <w:rsid w:val="58886392"/>
    <w:rsid w:val="61DE16F5"/>
    <w:rsid w:val="65D26704"/>
    <w:rsid w:val="698D1AEB"/>
    <w:rsid w:val="6BA84C7A"/>
    <w:rsid w:val="7048218F"/>
    <w:rsid w:val="70C15D8C"/>
    <w:rsid w:val="73C06E35"/>
    <w:rsid w:val="74F94E64"/>
    <w:rsid w:val="75DE6045"/>
    <w:rsid w:val="77724C80"/>
    <w:rsid w:val="78612E89"/>
    <w:rsid w:val="78DB4966"/>
    <w:rsid w:val="7A0A71CB"/>
    <w:rsid w:val="7B4C1F62"/>
    <w:rsid w:val="7B9D6F7B"/>
    <w:rsid w:val="7CA73254"/>
    <w:rsid w:val="7DF87568"/>
    <w:rsid w:val="7E557B7C"/>
    <w:rsid w:val="7E681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unhideWhenUsed/>
    <w:qFormat/>
    <w:uiPriority w:val="99"/>
    <w:rPr>
      <w:color w:val="954F72" w:themeColor="followedHyperlink"/>
      <w:u w:val="single"/>
      <w14:textFill>
        <w14:solidFill>
          <w14:schemeClr w14:val="folHlink"/>
        </w14:solidFill>
      </w14:textFill>
    </w:rPr>
  </w:style>
  <w:style w:type="character" w:styleId="12">
    <w:name w:val="Emphasis"/>
    <w:basedOn w:val="10"/>
    <w:qFormat/>
    <w:uiPriority w:val="20"/>
    <w:rPr>
      <w:i/>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未处理的提及1"/>
    <w:basedOn w:val="10"/>
    <w:unhideWhenUsed/>
    <w:qFormat/>
    <w:uiPriority w:val="99"/>
    <w:rPr>
      <w:color w:val="808080"/>
      <w:shd w:val="clear" w:color="auto" w:fill="E6E6E6"/>
    </w:rPr>
  </w:style>
  <w:style w:type="character" w:customStyle="1" w:styleId="18">
    <w:name w:val="apple-converted-space"/>
    <w:basedOn w:val="10"/>
    <w:qFormat/>
    <w:uiPriority w:val="0"/>
  </w:style>
  <w:style w:type="character" w:customStyle="1" w:styleId="19">
    <w:name w:val="未处理的提及2"/>
    <w:basedOn w:val="10"/>
    <w:semiHidden/>
    <w:unhideWhenUsed/>
    <w:qFormat/>
    <w:uiPriority w:val="99"/>
    <w:rPr>
      <w:color w:val="808080"/>
      <w:shd w:val="clear" w:color="auto" w:fill="E6E6E6"/>
    </w:rPr>
  </w:style>
  <w:style w:type="character" w:customStyle="1" w:styleId="20">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1</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2025-01-13T01:30:00Z</cp:lastPrinted>
  <dcterms:modified xsi:type="dcterms:W3CDTF">2025-06-13T00:03:37Z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