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 w:hanging="1"/>
        <w:jc w:val="center"/>
        <w:rPr>
          <w:rFonts w:hint="eastAsia" w:ascii="方正小标宋简体" w:eastAsia="方正小标宋简体"/>
          <w:b/>
          <w:bCs/>
          <w:color w:val="auto"/>
          <w:sz w:val="32"/>
          <w:szCs w:val="32"/>
          <w:lang w:eastAsia="zh-CN"/>
        </w:rPr>
      </w:pPr>
      <w:r>
        <w:rPr>
          <w:rFonts w:hint="eastAsia" w:ascii="方正小标宋简体" w:eastAsia="方正小标宋简体"/>
          <w:b/>
          <w:bCs/>
          <w:color w:val="auto"/>
          <w:sz w:val="32"/>
          <w:szCs w:val="32"/>
        </w:rPr>
        <w:t>威海市</w:t>
      </w:r>
      <w:r>
        <w:rPr>
          <w:rFonts w:hint="eastAsia" w:ascii="方正小标宋简体" w:eastAsia="方正小标宋简体"/>
          <w:b/>
          <w:bCs/>
          <w:color w:val="auto"/>
          <w:sz w:val="32"/>
          <w:szCs w:val="32"/>
          <w:lang w:eastAsia="zh-CN"/>
        </w:rPr>
        <w:t>立医</w:t>
      </w:r>
      <w:r>
        <w:rPr>
          <w:rFonts w:hint="eastAsia" w:ascii="方正小标宋简体" w:eastAsia="方正小标宋简体"/>
          <w:b/>
          <w:bCs/>
          <w:color w:val="auto"/>
          <w:sz w:val="32"/>
          <w:szCs w:val="32"/>
        </w:rPr>
        <w:t>院</w:t>
      </w:r>
      <w:r>
        <w:rPr>
          <w:rFonts w:hint="eastAsia" w:ascii="方正小标宋简体" w:eastAsia="方正小标宋简体"/>
          <w:b/>
          <w:bCs/>
          <w:color w:val="auto"/>
          <w:sz w:val="32"/>
          <w:szCs w:val="32"/>
          <w:lang w:eastAsia="zh-CN"/>
        </w:rPr>
        <w:t>202</w:t>
      </w:r>
      <w:r>
        <w:rPr>
          <w:rFonts w:hint="eastAsia" w:ascii="方正小标宋简体" w:eastAsia="方正小标宋简体"/>
          <w:b/>
          <w:bCs/>
          <w:color w:val="auto"/>
          <w:sz w:val="32"/>
          <w:szCs w:val="32"/>
          <w:lang w:val="en-US" w:eastAsia="zh-CN"/>
        </w:rPr>
        <w:t>3</w:t>
      </w:r>
      <w:r>
        <w:rPr>
          <w:rFonts w:hint="eastAsia" w:ascii="方正小标宋简体" w:eastAsia="方正小标宋简体"/>
          <w:b/>
          <w:bCs/>
          <w:color w:val="auto"/>
          <w:sz w:val="32"/>
          <w:szCs w:val="32"/>
          <w:lang w:eastAsia="zh-CN"/>
        </w:rPr>
        <w:t>年第六批选定部分山东省医用耗材集中采购平台耗材供应商</w:t>
      </w:r>
    </w:p>
    <w:p>
      <w:pPr>
        <w:spacing w:line="360" w:lineRule="auto"/>
        <w:ind w:right="-1" w:hanging="1"/>
        <w:jc w:val="center"/>
        <w:rPr>
          <w:rFonts w:hint="eastAsia" w:ascii="方正小标宋简体" w:eastAsia="方正小标宋简体"/>
          <w:b/>
          <w:bCs/>
          <w:color w:val="auto"/>
          <w:sz w:val="32"/>
          <w:szCs w:val="32"/>
          <w:lang w:eastAsia="zh-CN"/>
        </w:rPr>
      </w:pPr>
      <w:r>
        <w:rPr>
          <w:rFonts w:hint="eastAsia" w:ascii="方正小标宋简体" w:eastAsia="方正小标宋简体"/>
          <w:b/>
          <w:bCs/>
          <w:color w:val="auto"/>
          <w:sz w:val="32"/>
          <w:szCs w:val="32"/>
        </w:rPr>
        <w:t>（</w:t>
      </w:r>
      <w:r>
        <w:rPr>
          <w:rFonts w:hint="eastAsia" w:ascii="方正小标宋简体" w:eastAsia="方正小标宋简体"/>
          <w:b/>
          <w:bCs/>
          <w:color w:val="auto"/>
          <w:sz w:val="32"/>
          <w:szCs w:val="32"/>
          <w:lang w:val="en-US" w:eastAsia="zh-CN"/>
        </w:rPr>
        <w:t>whslyygzhc</w:t>
      </w:r>
      <w:r>
        <w:rPr>
          <w:rFonts w:hint="eastAsia" w:ascii="方正小标宋简体" w:eastAsia="方正小标宋简体"/>
          <w:b/>
          <w:bCs/>
          <w:color w:val="auto"/>
          <w:sz w:val="32"/>
          <w:szCs w:val="32"/>
        </w:rPr>
        <w:t>202</w:t>
      </w:r>
      <w:r>
        <w:rPr>
          <w:rFonts w:hint="eastAsia" w:ascii="方正小标宋简体" w:eastAsia="方正小标宋简体"/>
          <w:b/>
          <w:bCs/>
          <w:color w:val="auto"/>
          <w:sz w:val="32"/>
          <w:szCs w:val="32"/>
          <w:lang w:val="en-US" w:eastAsia="zh-CN"/>
        </w:rPr>
        <w:t>3</w:t>
      </w:r>
      <w:r>
        <w:rPr>
          <w:rFonts w:hint="eastAsia" w:ascii="方正小标宋简体" w:eastAsia="方正小标宋简体"/>
          <w:b/>
          <w:bCs/>
          <w:color w:val="auto"/>
          <w:sz w:val="32"/>
          <w:szCs w:val="32"/>
        </w:rPr>
        <w:t>-0</w:t>
      </w:r>
      <w:r>
        <w:rPr>
          <w:rFonts w:hint="eastAsia" w:ascii="方正小标宋简体" w:eastAsia="方正小标宋简体"/>
          <w:b/>
          <w:bCs/>
          <w:color w:val="auto"/>
          <w:sz w:val="32"/>
          <w:szCs w:val="32"/>
          <w:lang w:val="en-US" w:eastAsia="zh-CN"/>
        </w:rPr>
        <w:t>06</w:t>
      </w:r>
      <w:r>
        <w:rPr>
          <w:rFonts w:hint="eastAsia" w:ascii="方正小标宋简体" w:eastAsia="方正小标宋简体"/>
          <w:b/>
          <w:bCs/>
          <w:color w:val="auto"/>
          <w:sz w:val="32"/>
          <w:szCs w:val="32"/>
        </w:rPr>
        <w:t>）采购公告</w:t>
      </w:r>
      <w:r>
        <w:rPr>
          <w:rFonts w:hint="eastAsia" w:ascii="方正小标宋简体" w:eastAsia="方正小标宋简体"/>
          <w:b/>
          <w:bCs/>
          <w:color w:val="auto"/>
          <w:sz w:val="32"/>
          <w:szCs w:val="32"/>
          <w:lang w:eastAsia="zh-CN"/>
        </w:rPr>
        <w:t>附件</w:t>
      </w:r>
    </w:p>
    <w:p>
      <w:pPr>
        <w:rPr>
          <w:rFonts w:hint="eastAsia"/>
          <w:lang w:eastAsia="zh-CN"/>
        </w:rPr>
      </w:pPr>
      <w:r>
        <w:rPr>
          <w:rFonts w:hint="eastAsia"/>
          <w:lang w:eastAsia="zh-CN"/>
        </w:rPr>
        <w:t>附件：</w:t>
      </w:r>
    </w:p>
    <w:tbl>
      <w:tblPr>
        <w:tblStyle w:val="3"/>
        <w:tblW w:w="8961" w:type="dxa"/>
        <w:tblInd w:w="-11" w:type="dxa"/>
        <w:tblLayout w:type="fixed"/>
        <w:tblCellMar>
          <w:top w:w="0" w:type="dxa"/>
          <w:left w:w="0" w:type="dxa"/>
          <w:bottom w:w="0" w:type="dxa"/>
          <w:right w:w="0" w:type="dxa"/>
        </w:tblCellMar>
      </w:tblPr>
      <w:tblGrid>
        <w:gridCol w:w="240"/>
        <w:gridCol w:w="2121"/>
        <w:gridCol w:w="240"/>
        <w:gridCol w:w="2010"/>
        <w:gridCol w:w="4350"/>
      </w:tblGrid>
      <w:tr>
        <w:tblPrEx>
          <w:tblLayout w:type="fixed"/>
          <w:tblCellMar>
            <w:top w:w="0" w:type="dxa"/>
            <w:left w:w="0" w:type="dxa"/>
            <w:bottom w:w="0" w:type="dxa"/>
            <w:right w:w="0" w:type="dxa"/>
          </w:tblCellMar>
        </w:tblPrEx>
        <w:trPr>
          <w:trHeight w:val="270" w:hRule="atLeast"/>
        </w:trPr>
        <w:tc>
          <w:tcPr>
            <w:tcW w:w="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0"/>
                <w:szCs w:val="20"/>
                <w:u w:val="none"/>
              </w:rPr>
            </w:pPr>
            <w:r>
              <w:rPr>
                <w:rFonts w:hint="eastAsia" w:ascii="仿宋_GB2312" w:hAnsi="仿宋_GB2312" w:eastAsia="仿宋_GB2312" w:cs="仿宋_GB2312"/>
                <w:b/>
                <w:i w:val="0"/>
                <w:color w:val="auto"/>
                <w:kern w:val="0"/>
                <w:sz w:val="20"/>
                <w:szCs w:val="20"/>
                <w:u w:val="none"/>
                <w:lang w:val="en-US" w:eastAsia="zh-CN" w:bidi="ar"/>
              </w:rPr>
              <w:t>包号</w:t>
            </w:r>
          </w:p>
        </w:tc>
        <w:tc>
          <w:tcPr>
            <w:tcW w:w="2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0"/>
                <w:szCs w:val="20"/>
                <w:u w:val="none"/>
              </w:rPr>
            </w:pPr>
            <w:r>
              <w:rPr>
                <w:rFonts w:hint="eastAsia" w:ascii="仿宋_GB2312" w:hAnsi="仿宋_GB2312" w:eastAsia="仿宋_GB2312" w:cs="仿宋_GB2312"/>
                <w:b/>
                <w:i w:val="0"/>
                <w:color w:val="auto"/>
                <w:kern w:val="0"/>
                <w:sz w:val="20"/>
                <w:szCs w:val="20"/>
                <w:u w:val="none"/>
                <w:lang w:val="en-US" w:eastAsia="zh-CN" w:bidi="ar"/>
              </w:rPr>
              <w:t>耗材名称</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0"/>
                <w:szCs w:val="20"/>
                <w:u w:val="none"/>
              </w:rPr>
            </w:pPr>
            <w:r>
              <w:rPr>
                <w:rFonts w:hint="eastAsia" w:ascii="仿宋_GB2312" w:hAnsi="仿宋_GB2312" w:eastAsia="仿宋_GB2312" w:cs="仿宋_GB2312"/>
                <w:b/>
                <w:i w:val="0"/>
                <w:color w:val="auto"/>
                <w:kern w:val="0"/>
                <w:sz w:val="20"/>
                <w:szCs w:val="20"/>
                <w:u w:val="none"/>
                <w:lang w:val="en-US" w:eastAsia="zh-CN" w:bidi="ar"/>
              </w:rPr>
              <w:t>单位</w:t>
            </w:r>
          </w:p>
        </w:tc>
        <w:tc>
          <w:tcPr>
            <w:tcW w:w="201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0"/>
                <w:szCs w:val="20"/>
                <w:u w:val="none"/>
              </w:rPr>
            </w:pPr>
            <w:r>
              <w:rPr>
                <w:rFonts w:hint="eastAsia" w:ascii="仿宋_GB2312" w:hAnsi="仿宋_GB2312" w:eastAsia="仿宋_GB2312" w:cs="仿宋_GB2312"/>
                <w:b/>
                <w:i w:val="0"/>
                <w:color w:val="auto"/>
                <w:kern w:val="0"/>
                <w:sz w:val="20"/>
                <w:szCs w:val="20"/>
                <w:u w:val="none"/>
                <w:lang w:val="en-US" w:eastAsia="zh-CN" w:bidi="ar"/>
              </w:rPr>
              <w:t>型号 规格</w:t>
            </w:r>
          </w:p>
        </w:tc>
        <w:tc>
          <w:tcPr>
            <w:tcW w:w="435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0"/>
                <w:szCs w:val="20"/>
                <w:u w:val="none"/>
              </w:rPr>
            </w:pPr>
            <w:r>
              <w:rPr>
                <w:rFonts w:hint="eastAsia" w:ascii="仿宋_GB2312" w:hAnsi="仿宋_GB2312" w:eastAsia="仿宋_GB2312" w:cs="仿宋_GB2312"/>
                <w:b/>
                <w:i w:val="0"/>
                <w:color w:val="auto"/>
                <w:kern w:val="0"/>
                <w:sz w:val="20"/>
                <w:szCs w:val="20"/>
                <w:u w:val="none"/>
                <w:lang w:val="en-US" w:eastAsia="zh-CN" w:bidi="ar"/>
              </w:rPr>
              <w:t>耗材要求及描述</w:t>
            </w:r>
          </w:p>
        </w:tc>
      </w:tr>
      <w:tr>
        <w:tblPrEx>
          <w:tblLayout w:type="fixed"/>
          <w:tblCellMar>
            <w:top w:w="0" w:type="dxa"/>
            <w:left w:w="0" w:type="dxa"/>
            <w:bottom w:w="0" w:type="dxa"/>
            <w:right w:w="0" w:type="dxa"/>
          </w:tblCellMar>
        </w:tblPrEx>
        <w:trPr>
          <w:trHeight w:val="270" w:hRule="atLeast"/>
        </w:trPr>
        <w:tc>
          <w:tcPr>
            <w:tcW w:w="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kern w:val="0"/>
                <w:sz w:val="20"/>
                <w:szCs w:val="20"/>
                <w:u w:val="none"/>
                <w:lang w:val="en-US" w:eastAsia="zh-CN" w:bidi="ar"/>
              </w:rPr>
            </w:pPr>
            <w:r>
              <w:rPr>
                <w:rFonts w:hint="eastAsia" w:ascii="仿宋_GB2312" w:hAnsi="仿宋_GB2312" w:eastAsia="仿宋_GB2312" w:cs="仿宋_GB2312"/>
                <w:i w:val="0"/>
                <w:color w:val="auto"/>
                <w:sz w:val="18"/>
                <w:szCs w:val="18"/>
                <w:u w:val="none"/>
                <w:lang w:val="en-US" w:eastAsia="zh-CN"/>
              </w:rPr>
              <w:t>1</w:t>
            </w:r>
          </w:p>
        </w:tc>
        <w:tc>
          <w:tcPr>
            <w:tcW w:w="2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气管切开套管</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0"/>
                <w:szCs w:val="20"/>
                <w:u w:val="none"/>
                <w:lang w:val="en-US"/>
              </w:rPr>
            </w:pPr>
            <w:r>
              <w:rPr>
                <w:rFonts w:hint="eastAsia" w:ascii="仿宋_GB2312" w:hAnsi="仿宋_GB2312" w:eastAsia="仿宋_GB2312" w:cs="仿宋_GB2312"/>
                <w:i w:val="0"/>
                <w:color w:val="000000"/>
                <w:kern w:val="0"/>
                <w:sz w:val="18"/>
                <w:szCs w:val="18"/>
                <w:u w:val="none"/>
                <w:lang w:val="en-US" w:eastAsia="zh-CN" w:bidi="ar"/>
              </w:rPr>
              <w:t>根</w:t>
            </w:r>
          </w:p>
        </w:tc>
        <w:tc>
          <w:tcPr>
            <w:tcW w:w="201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0"/>
                <w:szCs w:val="20"/>
                <w:u w:val="none"/>
              </w:rPr>
            </w:pPr>
            <w:r>
              <w:rPr>
                <w:rFonts w:hint="eastAsia" w:ascii="仿宋_GB2312" w:hAnsi="仿宋_GB2312" w:eastAsia="仿宋_GB2312" w:cs="仿宋_GB2312"/>
                <w:i w:val="0"/>
                <w:color w:val="000000"/>
                <w:kern w:val="0"/>
                <w:sz w:val="18"/>
                <w:szCs w:val="18"/>
                <w:u w:val="none"/>
                <w:lang w:val="en-US" w:eastAsia="zh-CN" w:bidi="ar"/>
              </w:rPr>
              <w:t>70XLTCD（远端有套囊 长度：100mm 外径：12.3mm 内径：7.0mm）</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80XLTCD（远端 套囊 长度：105mm 外径：13.3mm  内径：8.0mm）</w:t>
            </w:r>
          </w:p>
        </w:tc>
        <w:tc>
          <w:tcPr>
            <w:tcW w:w="435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i w:val="0"/>
                <w:color w:val="auto"/>
                <w:sz w:val="20"/>
                <w:szCs w:val="20"/>
                <w:u w:val="none"/>
              </w:rPr>
            </w:pPr>
            <w:r>
              <w:rPr>
                <w:rFonts w:hint="eastAsia" w:ascii="仿宋_GB2312" w:hAnsi="仿宋_GB2312" w:eastAsia="仿宋_GB2312" w:cs="仿宋_GB2312"/>
                <w:i w:val="0"/>
                <w:color w:val="000000"/>
                <w:kern w:val="0"/>
                <w:sz w:val="18"/>
                <w:szCs w:val="18"/>
                <w:u w:val="none"/>
                <w:lang w:val="en-US" w:eastAsia="zh-CN" w:bidi="ar"/>
              </w:rPr>
              <w:t>用于提供气道管理过程中的气管通路</w:t>
            </w:r>
          </w:p>
        </w:tc>
      </w:tr>
      <w:tr>
        <w:tblPrEx>
          <w:tblLayout w:type="fixed"/>
          <w:tblCellMar>
            <w:top w:w="0" w:type="dxa"/>
            <w:left w:w="0" w:type="dxa"/>
            <w:bottom w:w="0" w:type="dxa"/>
            <w:right w:w="0" w:type="dxa"/>
          </w:tblCellMar>
        </w:tblPrEx>
        <w:trPr>
          <w:trHeight w:val="1575"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2</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人工髋关节</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bidi="ar"/>
              </w:rPr>
              <w:t>盒</w:t>
            </w:r>
          </w:p>
        </w:tc>
        <w:tc>
          <w:tcPr>
            <w:tcW w:w="201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000000"/>
                <w:kern w:val="0"/>
                <w:sz w:val="18"/>
                <w:szCs w:val="18"/>
                <w:u w:val="none"/>
                <w:lang w:val="en-US" w:eastAsia="zh-CN" w:bidi="ar"/>
              </w:rPr>
              <w:t>定制股骨柄-假体主体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M、S</w:t>
            </w:r>
          </w:p>
        </w:tc>
        <w:tc>
          <w:tcPr>
            <w:tcW w:w="4350" w:type="dxa"/>
            <w:vMerge w:val="restart"/>
            <w:tcBorders>
              <w:top w:val="single" w:color="auto" w:sz="4" w:space="0"/>
              <w:left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rPr>
              <w:t>用于对人体施行部分、半髋或全髋置换或翻修用以及整体式或组合式的人工髋关节植入物</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3</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人工髋关节</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eastAsia="zh-CN"/>
              </w:rPr>
            </w:pPr>
            <w:r>
              <w:rPr>
                <w:rFonts w:hint="eastAsia" w:ascii="仿宋_GB2312" w:hAnsi="仿宋_GB2312" w:eastAsia="仿宋_GB2312" w:cs="仿宋_GB2312"/>
                <w:i w:val="0"/>
                <w:color w:val="auto"/>
                <w:sz w:val="18"/>
                <w:szCs w:val="18"/>
                <w:u w:val="none"/>
                <w:lang w:eastAsia="zh-CN"/>
              </w:rPr>
              <w:t>盒</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eastAsia="zh-CN"/>
              </w:rPr>
            </w:pPr>
            <w:r>
              <w:rPr>
                <w:rFonts w:hint="eastAsia" w:ascii="仿宋_GB2312" w:hAnsi="仿宋_GB2312" w:eastAsia="仿宋_GB2312" w:cs="仿宋_GB2312"/>
                <w:i w:val="0"/>
                <w:color w:val="000000"/>
                <w:kern w:val="0"/>
                <w:sz w:val="18"/>
                <w:szCs w:val="18"/>
                <w:u w:val="none"/>
                <w:lang w:val="en-US" w:eastAsia="zh-CN" w:bidi="ar"/>
              </w:rPr>
              <w:t>定制股骨柄-延长杆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Ф26×30-220</w:t>
            </w:r>
          </w:p>
        </w:tc>
        <w:tc>
          <w:tcPr>
            <w:tcW w:w="4350" w:type="dxa"/>
            <w:vMerge w:val="continue"/>
            <w:tcBorders>
              <w:left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1"/>
                <w:szCs w:val="24"/>
                <w:lang w:val="en-US" w:eastAsia="zh-CN" w:bidi="ar-SA"/>
              </w:rPr>
            </w:pP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4</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人工髋关节</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盒</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定制股骨柄-髓针Ф10×102、Ф11×127、Ф13×127、Ф15×127、Ф17×127</w:t>
            </w:r>
          </w:p>
        </w:tc>
        <w:tc>
          <w:tcPr>
            <w:tcW w:w="4350" w:type="dxa"/>
            <w:vMerge w:val="continue"/>
            <w:tcBorders>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5</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可解脱带纤维毛弹簧圈栓塞系统</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个</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直径3-25mm，长度4-60cm等</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用于栓塞手术中阻塞或减缓外周血管系统中的血流流速。此器械不适用于神经血管。</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6</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覆膜支架系统</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个</w:t>
            </w:r>
          </w:p>
        </w:tc>
        <w:tc>
          <w:tcPr>
            <w:tcW w:w="2010" w:type="dxa"/>
            <w:tcBorders>
              <w:top w:val="single" w:color="auto" w:sz="4" w:space="0"/>
              <w:left w:val="single" w:color="auto" w:sz="4" w:space="0"/>
              <w:bottom w:val="single" w:color="auto" w:sz="4" w:space="0"/>
              <w:right w:val="single" w:color="auto" w:sz="4" w:space="0"/>
            </w:tcBorders>
            <w:noWrap/>
            <w:vAlign w:val="center"/>
          </w:tcPr>
          <w:tbl>
            <w:tblPr>
              <w:tblStyle w:val="3"/>
              <w:tblW w:w="2386" w:type="dxa"/>
              <w:tblInd w:w="-15" w:type="dxa"/>
              <w:tblLayout w:type="fixed"/>
              <w:tblCellMar>
                <w:top w:w="0" w:type="dxa"/>
                <w:left w:w="0" w:type="dxa"/>
                <w:bottom w:w="0" w:type="dxa"/>
                <w:right w:w="0" w:type="dxa"/>
              </w:tblCellMar>
            </w:tblPr>
            <w:tblGrid>
              <w:gridCol w:w="2386"/>
            </w:tblGrid>
            <w:tr>
              <w:tblPrEx>
                <w:tblLayout w:type="fixed"/>
                <w:tblCellMar>
                  <w:top w:w="0" w:type="dxa"/>
                  <w:left w:w="0" w:type="dxa"/>
                  <w:bottom w:w="0" w:type="dxa"/>
                  <w:right w:w="0" w:type="dxa"/>
                </w:tblCellMar>
              </w:tblPrEx>
              <w:trPr>
                <w:trHeight w:val="1125" w:hRule="atLeast"/>
              </w:trPr>
              <w:tc>
                <w:tcPr>
                  <w:tcW w:w="2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ETBF3616C145EE等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分叉型主体</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近端直径：22-36MM，远端直径：13-20MM，长度：110-170MM</w:t>
                  </w:r>
                </w:p>
              </w:tc>
            </w:tr>
            <w:tr>
              <w:tblPrEx>
                <w:tblLayout w:type="fixed"/>
                <w:tblCellMar>
                  <w:top w:w="0" w:type="dxa"/>
                  <w:left w:w="0" w:type="dxa"/>
                  <w:bottom w:w="0" w:type="dxa"/>
                  <w:right w:w="0" w:type="dxa"/>
                </w:tblCellMar>
              </w:tblPrEx>
              <w:trPr>
                <w:trHeight w:val="1125" w:hRule="atLeast"/>
              </w:trPr>
              <w:tc>
                <w:tcPr>
                  <w:tcW w:w="2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ETLW1610C124EE/ETLW1613C93EE/ETLW1613C124EE等</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髂腿支架：近段直径 14-16MM，远端直径：10-28MM，长度：80-200MM</w:t>
                  </w:r>
                </w:p>
              </w:tc>
            </w:tr>
          </w:tbl>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用于肾下腹主动脉瘤或主髂动脉瘤的血管内治疗</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7</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一次性使用冲洗引流管</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套</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B型，10.0mm，Fr30</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B型，8.0mm，F r24</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B型，6.67mm，Fr20</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供腹腔手术后冲洗创面和引流残液用。</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8</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可吸收性外科缝线</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根</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各规格型号</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带倒刺无需打结即可缝合，适用于适合使用可吸收缝线的软组织缝合</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9</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可吸收性外科缝合线</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根</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各规格型号</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PGLA多股编织可吸收缝线,适用于一般软组织缝合和结扎手术</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10</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医用生物敷料栓</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盒</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Ι型：2g</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适用于细菌性阴道炎、霉菌性阴道炎、滴虫性阴道炎、混合性阴道炎、宫颈炎和宫颈糜烂的治疗</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11</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一次性呼气末二氧化碳采集呼吸管路</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套</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XDK-HXGL-2.0B</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含储气囊  Y型管外径：22mm 连接管长度：3m 连接管外径：3mm</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用于与麻醉机、呼吸机配套使用，为病人建立一个呼吸连接通道，同时连接呼气末二氧化碳监测设备，进行呼气末二氧化碳取样（采集）。</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12</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球囊扩张导管</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条</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5.0/6.0/7.0mm*40mm*40cm</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用于外周血管系统（包括髂动脉、股动脉、腘动脉、胫动脉、腓动脉、锁骨下动脉和肾动脉）的经皮腔内血管成形术（PTA），并适用于治疗自体或人造透析用动静脉瘘的堵塞病变。 PTA 球囊扩张导管还适用于外周血管系统中的球囊扩张支架或自扩张支架的后扩张。</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13</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植入式心脏起搏电极导线</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根</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2088TC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尺寸：58cm</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导线与相兼容的脉冲发生器联合使用，在右心房或右心室中提供持续感知和起搏。</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14</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外周球囊扩张导管</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根</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BC8040L等</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各型号 规格</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用于外周血管系统的经皮腔内血管成形术 (PTA)，治疗自体或人造透析用动静脉瘘的堵塞病变、外周血管系统中的球囊扩张支架或自扩张支架的后扩张</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15</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曲霉菌属、新型隐球菌及耶氏肺孢子菌核酸检测试剂盒</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盒</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24人份/盒，48人份/盒</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用于体外定性检测人痰液样本中曲霉菌属、新型隐球菌和耶氏肺孢子菌的核酸DNA</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16</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呼吸道合胞病毒核酸检测试剂盒(PCR-荧光探针法)</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盒</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单管单人份,10人份/盒</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用于体外定性检测鼻咽分泌物中呼吸道合胞病毒核酸</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17</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广谱病原通用扩增试剂盒（III型）</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盒</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48人份/盒</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用于对病原特定保守基因序列进行扩增，提供反应缓冲环境和测序引物，再配合使用普通PCR仪和Sanger测序技术，获取样本基因序列信息。</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18</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液体伤口敷料</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支</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3ml</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用于小创口、擦伤、切割伤、微整形术后创面等非慢性创面及周围皮肤的护理。产品无菌提供。</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19</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眼科手术系统-眼内照明探头</w:t>
            </w:r>
          </w:p>
        </w:tc>
        <w:tc>
          <w:tcPr>
            <w:tcW w:w="2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袋</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3269.D06（23G/0.6mm）</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3269.D05（25G/0.5mm）</w:t>
            </w:r>
          </w:p>
        </w:tc>
        <w:tc>
          <w:tcPr>
            <w:tcW w:w="4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用于眼前节和后节手术</w:t>
            </w:r>
          </w:p>
        </w:tc>
      </w:tr>
      <w:tr>
        <w:tblPrEx>
          <w:tblLayout w:type="fixed"/>
          <w:tblCellMar>
            <w:top w:w="0" w:type="dxa"/>
            <w:left w:w="0" w:type="dxa"/>
            <w:bottom w:w="0" w:type="dxa"/>
            <w:right w:w="0" w:type="dxa"/>
          </w:tblCellMar>
        </w:tblPrEx>
        <w:trPr>
          <w:trHeight w:val="450" w:hRule="atLeast"/>
        </w:trPr>
        <w:tc>
          <w:tcPr>
            <w:tcW w:w="8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备注：本项目说明中所提出的条款技术规格、要求、参数和标准仅系说明并非进行限制，供应商可提出替代的技术规格、要求、参数和标准，并在技术文件中详细说明，但该替代应不低于磋商文件的规定和要求。</w:t>
            </w:r>
          </w:p>
        </w:tc>
      </w:tr>
    </w:tbl>
    <w:p>
      <w:pPr>
        <w:rPr>
          <w:rFonts w:hint="eastAsia"/>
          <w:lang w:eastAsia="zh-CN"/>
        </w:rPr>
      </w:pPr>
      <w:bookmarkStart w:id="0" w:name="_GoBack"/>
      <w:bookmarkEnd w:id="0"/>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17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2023-09-11T06:07:47Z</dcterms:created>
  <dc:creator>Administrator</dc:creator>
  <cp:lastModifiedBy>林丽平</cp:lastModifiedBy>
  <dcterms:modified xsi:type="dcterms:W3CDTF">2023-09-11T06:09:12Z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