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编号</w:t>
      </w:r>
      <w:r>
        <w:rPr>
          <w:rFonts w:hint="eastAsia"/>
          <w:b/>
          <w:bCs/>
          <w:sz w:val="44"/>
          <w:szCs w:val="44"/>
          <w:lang w:val="en-US" w:eastAsia="zh-CN"/>
        </w:rPr>
        <w:t>whslyyhc-003采购项目情况</w:t>
      </w:r>
    </w:p>
    <w:p/>
    <w:tbl>
      <w:tblPr>
        <w:tblStyle w:val="3"/>
        <w:tblW w:w="85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0"/>
        <w:gridCol w:w="2504"/>
        <w:gridCol w:w="875"/>
        <w:gridCol w:w="975"/>
        <w:gridCol w:w="20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2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耗材要求及描述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医用超声耦合剂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（杀菌型无菌级）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12g/袋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用作超声探头与人体皮肤及腔道粘膜间的透声介质，并具有杀菌作用，能减少医源性交叉感染的机率。适用于各类医用超声的经完整及破损皮肤、腔道粘膜，经皮穿刺和术前术后检查和治疗。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一次性使用异物钳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lang w:val="en-US" w:eastAsia="zh-CN" w:bidi="ar"/>
              </w:rPr>
              <w:t>钳头直径1.6mm、1.8mm、2.3mm；有效工作长度1200mm、1600mm、1800mm、2300mm 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与内窥镜联合使用，从人体消化道中取出异物。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一次性使用病毒采样管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I型（含灭活剂）6ml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18元/支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主要用于样本的收集，运输和储存等。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3541C"/>
    <w:rsid w:val="484B6789"/>
    <w:rsid w:val="669A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5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2020-11-18T05:42:00Z</dcterms:created>
  <dc:creator>Administrator</dc:creator>
  <cp:lastModifiedBy>林丽平</cp:lastModifiedBy>
  <dcterms:modified xsi:type="dcterms:W3CDTF">2020-11-19T03:24:59Z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