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总院多联机空调维修保养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249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</w:t>
            </w:r>
            <w:r>
              <w:rPr>
                <w:rFonts w:hint="eastAsia" w:ascii="仿宋" w:hAnsi="仿宋" w:eastAsia="仿宋" w:cs="MS Gothic"/>
                <w:color w:val="000000"/>
                <w:sz w:val="24"/>
                <w:lang w:eastAsia="zh-CN"/>
              </w:rPr>
              <w:t>，经营范围需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中央空调系统配套设施安装与维修。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val="en-US" w:eastAsia="zh-CN"/>
              </w:rPr>
              <w:t>建筑机电安装工程专业承包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val="en-US" w:eastAsia="zh-CN"/>
              </w:rPr>
              <w:t>贰级以上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  <w:lang w:val="en-US" w:eastAsia="zh-CN"/>
              </w:rPr>
              <w:t>山东省住房和城乡建设厅颁发的《建筑企业资质证书》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期限在有效范围内。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2C765D0"/>
    <w:rsid w:val="0DB27176"/>
    <w:rsid w:val="153778C1"/>
    <w:rsid w:val="2642378B"/>
    <w:rsid w:val="2CAB77C5"/>
    <w:rsid w:val="30CC26D8"/>
    <w:rsid w:val="39036A16"/>
    <w:rsid w:val="57E92F57"/>
    <w:rsid w:val="57EC37FA"/>
    <w:rsid w:val="69D020A6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2019-08-28T08:43:52Z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